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EAC7" w14:textId="1B2DBB99" w:rsidR="002B0126" w:rsidRPr="009614C2" w:rsidRDefault="002B0126" w:rsidP="002B0126">
      <w:pPr>
        <w:rPr>
          <w:sz w:val="24"/>
          <w:szCs w:val="24"/>
        </w:rPr>
      </w:pPr>
      <w:r w:rsidRPr="009614C2">
        <w:rPr>
          <w:sz w:val="24"/>
          <w:szCs w:val="24"/>
        </w:rPr>
        <w:t xml:space="preserve">The North Carolina Center for the Advancement of Teaching (NCCAT) proudly announces </w:t>
      </w:r>
      <w:r w:rsidR="00624A86" w:rsidRPr="009614C2">
        <w:rPr>
          <w:sz w:val="24"/>
          <w:szCs w:val="24"/>
        </w:rPr>
        <w:t>Michaelle</w:t>
      </w:r>
      <w:r w:rsidR="00752B1B" w:rsidRPr="009614C2">
        <w:rPr>
          <w:sz w:val="24"/>
          <w:szCs w:val="24"/>
        </w:rPr>
        <w:t xml:space="preserve"> </w:t>
      </w:r>
      <w:r w:rsidR="00491150" w:rsidRPr="009614C2">
        <w:rPr>
          <w:sz w:val="24"/>
          <w:szCs w:val="24"/>
        </w:rPr>
        <w:t>Overman</w:t>
      </w:r>
      <w:r w:rsidRPr="009614C2">
        <w:rPr>
          <w:sz w:val="24"/>
          <w:szCs w:val="24"/>
        </w:rPr>
        <w:t xml:space="preserve">, </w:t>
      </w:r>
      <w:r w:rsidR="00AA131C" w:rsidRPr="009614C2">
        <w:rPr>
          <w:sz w:val="24"/>
          <w:szCs w:val="24"/>
        </w:rPr>
        <w:t>a Health Science</w:t>
      </w:r>
      <w:r w:rsidR="00D201E6" w:rsidRPr="009614C2">
        <w:rPr>
          <w:sz w:val="24"/>
          <w:szCs w:val="24"/>
        </w:rPr>
        <w:t xml:space="preserve"> </w:t>
      </w:r>
      <w:r w:rsidRPr="009614C2">
        <w:rPr>
          <w:sz w:val="24"/>
          <w:szCs w:val="24"/>
        </w:rPr>
        <w:t xml:space="preserve">teacher </w:t>
      </w:r>
      <w:r w:rsidR="00D201E6" w:rsidRPr="009614C2">
        <w:rPr>
          <w:sz w:val="24"/>
          <w:szCs w:val="24"/>
        </w:rPr>
        <w:t xml:space="preserve">at </w:t>
      </w:r>
      <w:r w:rsidR="009F056C" w:rsidRPr="009614C2">
        <w:rPr>
          <w:sz w:val="24"/>
          <w:szCs w:val="24"/>
        </w:rPr>
        <w:t xml:space="preserve">Perquimans </w:t>
      </w:r>
      <w:r w:rsidR="002B5A29" w:rsidRPr="009614C2">
        <w:rPr>
          <w:sz w:val="24"/>
          <w:szCs w:val="24"/>
        </w:rPr>
        <w:t>High School</w:t>
      </w:r>
      <w:r w:rsidRPr="009614C2">
        <w:rPr>
          <w:sz w:val="24"/>
          <w:szCs w:val="24"/>
        </w:rPr>
        <w:t xml:space="preserve"> in </w:t>
      </w:r>
      <w:r w:rsidR="009F056C" w:rsidRPr="009614C2">
        <w:rPr>
          <w:sz w:val="24"/>
          <w:szCs w:val="24"/>
        </w:rPr>
        <w:t>Perquimans County</w:t>
      </w:r>
      <w:r w:rsidR="00D201E6" w:rsidRPr="009614C2">
        <w:rPr>
          <w:sz w:val="24"/>
          <w:szCs w:val="24"/>
        </w:rPr>
        <w:t xml:space="preserve"> Schools</w:t>
      </w:r>
      <w:r w:rsidR="008F0C3D" w:rsidRPr="009614C2">
        <w:rPr>
          <w:sz w:val="24"/>
          <w:szCs w:val="24"/>
        </w:rPr>
        <w:t>,</w:t>
      </w:r>
      <w:r w:rsidRPr="009614C2">
        <w:rPr>
          <w:sz w:val="24"/>
          <w:szCs w:val="24"/>
        </w:rPr>
        <w:t xml:space="preserve"> as the NCCAT 202</w:t>
      </w:r>
      <w:r w:rsidR="002C0EC4" w:rsidRPr="009614C2">
        <w:rPr>
          <w:sz w:val="24"/>
          <w:szCs w:val="24"/>
        </w:rPr>
        <w:t>6</w:t>
      </w:r>
      <w:r w:rsidRPr="009614C2">
        <w:rPr>
          <w:sz w:val="24"/>
          <w:szCs w:val="24"/>
        </w:rPr>
        <w:t xml:space="preserve"> Burroughs </w:t>
      </w:r>
      <w:proofErr w:type="spellStart"/>
      <w:r w:rsidRPr="009614C2">
        <w:rPr>
          <w:sz w:val="24"/>
          <w:szCs w:val="24"/>
        </w:rPr>
        <w:t>Wellcome</w:t>
      </w:r>
      <w:proofErr w:type="spellEnd"/>
      <w:r w:rsidRPr="009614C2">
        <w:rPr>
          <w:sz w:val="24"/>
          <w:szCs w:val="24"/>
        </w:rPr>
        <w:t xml:space="preserve"> Fund NC Career &amp; Technical Education (CTE) Teacher of the Year. The award was presented at a special ceremony held at the </w:t>
      </w:r>
      <w:r w:rsidR="002C0EC4" w:rsidRPr="009614C2">
        <w:rPr>
          <w:sz w:val="24"/>
          <w:szCs w:val="24"/>
        </w:rPr>
        <w:t>Koury Convention Center in Greensboro, NC on Thursday, December 4, 2025.</w:t>
      </w:r>
    </w:p>
    <w:p w14:paraId="37E3D3F9" w14:textId="7B8CBCC0" w:rsidR="002B0126" w:rsidRPr="009614C2" w:rsidRDefault="002B0126" w:rsidP="002B0126">
      <w:pPr>
        <w:rPr>
          <w:sz w:val="24"/>
          <w:szCs w:val="24"/>
        </w:rPr>
      </w:pPr>
      <w:r w:rsidRPr="009614C2">
        <w:rPr>
          <w:sz w:val="24"/>
          <w:szCs w:val="24"/>
        </w:rPr>
        <w:t xml:space="preserve">Now in its </w:t>
      </w:r>
      <w:r w:rsidR="002C0EC4" w:rsidRPr="009614C2">
        <w:rPr>
          <w:sz w:val="24"/>
          <w:szCs w:val="24"/>
        </w:rPr>
        <w:t>fourth</w:t>
      </w:r>
      <w:r w:rsidRPr="009614C2">
        <w:rPr>
          <w:sz w:val="24"/>
          <w:szCs w:val="24"/>
        </w:rPr>
        <w:t xml:space="preserve"> year, this award recognizes outstanding CTE educators who demonstrate excellence in their profession</w:t>
      </w:r>
      <w:r w:rsidR="00613EB0" w:rsidRPr="009614C2">
        <w:rPr>
          <w:sz w:val="24"/>
          <w:szCs w:val="24"/>
        </w:rPr>
        <w:t xml:space="preserve">. </w:t>
      </w:r>
      <w:r w:rsidRPr="009614C2">
        <w:rPr>
          <w:sz w:val="24"/>
          <w:szCs w:val="24"/>
        </w:rPr>
        <w:t xml:space="preserve">Finalists from across North Carolina gathered for </w:t>
      </w:r>
      <w:r w:rsidR="00613EB0" w:rsidRPr="009614C2">
        <w:rPr>
          <w:sz w:val="24"/>
          <w:szCs w:val="24"/>
        </w:rPr>
        <w:t xml:space="preserve">a week of professional development </w:t>
      </w:r>
      <w:r w:rsidR="008B231F" w:rsidRPr="009614C2">
        <w:rPr>
          <w:sz w:val="24"/>
          <w:szCs w:val="24"/>
        </w:rPr>
        <w:t>prior to the event</w:t>
      </w:r>
      <w:r w:rsidRPr="009614C2">
        <w:rPr>
          <w:sz w:val="24"/>
          <w:szCs w:val="24"/>
        </w:rPr>
        <w:t>.</w:t>
      </w:r>
    </w:p>
    <w:p w14:paraId="4D1BF103" w14:textId="623D737A" w:rsidR="005D15FB" w:rsidRPr="009614C2" w:rsidRDefault="00EE37F9" w:rsidP="005D15FB">
      <w:pPr>
        <w:rPr>
          <w:sz w:val="24"/>
          <w:szCs w:val="24"/>
        </w:rPr>
      </w:pPr>
      <w:r w:rsidRPr="009614C2">
        <w:rPr>
          <w:sz w:val="24"/>
          <w:szCs w:val="24"/>
        </w:rPr>
        <w:t>Overman</w:t>
      </w:r>
      <w:r w:rsidR="003876A6" w:rsidRPr="009614C2">
        <w:rPr>
          <w:sz w:val="24"/>
          <w:szCs w:val="24"/>
        </w:rPr>
        <w:t xml:space="preserve"> integrate</w:t>
      </w:r>
      <w:r w:rsidRPr="009614C2">
        <w:rPr>
          <w:sz w:val="24"/>
          <w:szCs w:val="24"/>
        </w:rPr>
        <w:t>s</w:t>
      </w:r>
      <w:r w:rsidR="003876A6" w:rsidRPr="009614C2">
        <w:rPr>
          <w:sz w:val="24"/>
          <w:szCs w:val="24"/>
        </w:rPr>
        <w:t xml:space="preserve"> industry recognized certifications and digital badges into </w:t>
      </w:r>
      <w:r w:rsidR="00EE658C" w:rsidRPr="009614C2">
        <w:rPr>
          <w:sz w:val="24"/>
          <w:szCs w:val="24"/>
        </w:rPr>
        <w:t>her</w:t>
      </w:r>
      <w:r w:rsidR="003876A6" w:rsidRPr="009614C2">
        <w:rPr>
          <w:sz w:val="24"/>
          <w:szCs w:val="24"/>
        </w:rPr>
        <w:t xml:space="preserve"> courses to better prepare students for </w:t>
      </w:r>
      <w:r w:rsidR="009614C2" w:rsidRPr="009614C2">
        <w:rPr>
          <w:sz w:val="24"/>
          <w:szCs w:val="24"/>
        </w:rPr>
        <w:t>post-secondary</w:t>
      </w:r>
      <w:r w:rsidR="003876A6" w:rsidRPr="009614C2">
        <w:rPr>
          <w:sz w:val="24"/>
          <w:szCs w:val="24"/>
        </w:rPr>
        <w:t xml:space="preserve"> education and the workforce</w:t>
      </w:r>
      <w:r w:rsidR="00C5436A">
        <w:rPr>
          <w:sz w:val="24"/>
          <w:szCs w:val="24"/>
        </w:rPr>
        <w:t xml:space="preserve">. </w:t>
      </w:r>
      <w:r w:rsidR="005D15FB" w:rsidRPr="009614C2">
        <w:rPr>
          <w:sz w:val="24"/>
          <w:szCs w:val="24"/>
        </w:rPr>
        <w:t xml:space="preserve">One of </w:t>
      </w:r>
      <w:r w:rsidR="00C75718">
        <w:rPr>
          <w:sz w:val="24"/>
          <w:szCs w:val="24"/>
        </w:rPr>
        <w:t>her</w:t>
      </w:r>
      <w:r w:rsidR="005D15FB" w:rsidRPr="009614C2">
        <w:rPr>
          <w:sz w:val="24"/>
          <w:szCs w:val="24"/>
        </w:rPr>
        <w:t xml:space="preserve"> students noted, “she is dedicated to educating students and staff and serving our community.”</w:t>
      </w:r>
    </w:p>
    <w:p w14:paraId="6D3A68A9" w14:textId="0C1169B2" w:rsidR="002B0126" w:rsidRPr="009614C2" w:rsidRDefault="00C75718" w:rsidP="00AB4742">
      <w:pPr>
        <w:rPr>
          <w:sz w:val="24"/>
          <w:szCs w:val="24"/>
        </w:rPr>
      </w:pPr>
      <w:r>
        <w:rPr>
          <w:sz w:val="24"/>
          <w:szCs w:val="24"/>
        </w:rPr>
        <w:t>Overman</w:t>
      </w:r>
      <w:r w:rsidR="00781820">
        <w:rPr>
          <w:sz w:val="24"/>
          <w:szCs w:val="24"/>
        </w:rPr>
        <w:t xml:space="preserve"> </w:t>
      </w:r>
      <w:r w:rsidR="00781820" w:rsidRPr="009614C2">
        <w:rPr>
          <w:sz w:val="24"/>
          <w:szCs w:val="24"/>
        </w:rPr>
        <w:t xml:space="preserve">doubled participation </w:t>
      </w:r>
      <w:r w:rsidR="00C5436A">
        <w:rPr>
          <w:sz w:val="24"/>
          <w:szCs w:val="24"/>
        </w:rPr>
        <w:t xml:space="preserve">in </w:t>
      </w:r>
      <w:r w:rsidR="0034372A">
        <w:rPr>
          <w:sz w:val="24"/>
          <w:szCs w:val="24"/>
        </w:rPr>
        <w:t xml:space="preserve">her school’s </w:t>
      </w:r>
      <w:r w:rsidR="000F7B87" w:rsidRPr="009614C2">
        <w:rPr>
          <w:sz w:val="24"/>
          <w:szCs w:val="24"/>
        </w:rPr>
        <w:t>Health Occupations Student Association (</w:t>
      </w:r>
      <w:r w:rsidR="003876A6" w:rsidRPr="009614C2">
        <w:rPr>
          <w:sz w:val="24"/>
          <w:szCs w:val="24"/>
        </w:rPr>
        <w:t>HOSA</w:t>
      </w:r>
      <w:r w:rsidR="000F7B87" w:rsidRPr="009614C2">
        <w:rPr>
          <w:sz w:val="24"/>
          <w:szCs w:val="24"/>
        </w:rPr>
        <w:t>)</w:t>
      </w:r>
      <w:r w:rsidR="003876A6" w:rsidRPr="009614C2">
        <w:rPr>
          <w:sz w:val="24"/>
          <w:szCs w:val="24"/>
        </w:rPr>
        <w:t xml:space="preserve"> </w:t>
      </w:r>
      <w:r w:rsidR="0034372A">
        <w:rPr>
          <w:sz w:val="24"/>
          <w:szCs w:val="24"/>
        </w:rPr>
        <w:t xml:space="preserve">as an </w:t>
      </w:r>
      <w:r w:rsidR="003876A6" w:rsidRPr="009614C2">
        <w:rPr>
          <w:sz w:val="24"/>
          <w:szCs w:val="24"/>
        </w:rPr>
        <w:t>advisor focused on health awareness and community engagement</w:t>
      </w:r>
      <w:r w:rsidR="00AB4742">
        <w:rPr>
          <w:sz w:val="24"/>
          <w:szCs w:val="24"/>
        </w:rPr>
        <w:t>. A member of Perquimans County Emergency Services said, “</w:t>
      </w:r>
      <w:r w:rsidR="00AB4742" w:rsidRPr="00AB4742">
        <w:rPr>
          <w:sz w:val="24"/>
          <w:szCs w:val="24"/>
        </w:rPr>
        <w:t>What makes Mrs. Overman truly special is her ability to challenge students while meeting them where they ar</w:t>
      </w:r>
      <w:r w:rsidR="00AB4742">
        <w:rPr>
          <w:sz w:val="24"/>
          <w:szCs w:val="24"/>
        </w:rPr>
        <w:t>e</w:t>
      </w:r>
      <w:r w:rsidR="00AB4742" w:rsidRPr="00AB4742">
        <w:rPr>
          <w:sz w:val="24"/>
          <w:szCs w:val="24"/>
        </w:rPr>
        <w:t>. Her</w:t>
      </w:r>
      <w:r w:rsidR="00AB4742">
        <w:rPr>
          <w:sz w:val="24"/>
          <w:szCs w:val="24"/>
        </w:rPr>
        <w:t xml:space="preserve"> </w:t>
      </w:r>
      <w:r w:rsidR="00AB4742" w:rsidRPr="00AB4742">
        <w:rPr>
          <w:sz w:val="24"/>
          <w:szCs w:val="24"/>
        </w:rPr>
        <w:t>courses are not easy - she pushes students beyond their comfort zones, encouraging them to reach their full potential in</w:t>
      </w:r>
      <w:r w:rsidR="00AB4742">
        <w:rPr>
          <w:sz w:val="24"/>
          <w:szCs w:val="24"/>
        </w:rPr>
        <w:t xml:space="preserve"> </w:t>
      </w:r>
      <w:r w:rsidR="00AB4742" w:rsidRPr="00AB4742">
        <w:rPr>
          <w:sz w:val="24"/>
          <w:szCs w:val="24"/>
        </w:rPr>
        <w:t>ways that ar</w:t>
      </w:r>
      <w:r w:rsidR="00AB4742">
        <w:rPr>
          <w:sz w:val="24"/>
          <w:szCs w:val="24"/>
        </w:rPr>
        <w:t>e</w:t>
      </w:r>
      <w:r w:rsidR="00AB4742" w:rsidRPr="00AB4742">
        <w:rPr>
          <w:sz w:val="24"/>
          <w:szCs w:val="24"/>
        </w:rPr>
        <w:t xml:space="preserve"> individualized and inspiring.</w:t>
      </w:r>
      <w:r w:rsidR="00AB4742">
        <w:rPr>
          <w:sz w:val="24"/>
          <w:szCs w:val="24"/>
        </w:rPr>
        <w:t>”</w:t>
      </w:r>
    </w:p>
    <w:p w14:paraId="74CDFFDF" w14:textId="77777777" w:rsidR="002B0126" w:rsidRPr="009614C2" w:rsidRDefault="002B0126" w:rsidP="002B0126">
      <w:pPr>
        <w:rPr>
          <w:sz w:val="24"/>
          <w:szCs w:val="24"/>
        </w:rPr>
      </w:pPr>
      <w:r w:rsidRPr="009614C2">
        <w:rPr>
          <w:sz w:val="24"/>
          <w:szCs w:val="24"/>
        </w:rPr>
        <w:t>NCCAT Executive Director Dr. M. Brock Womble expressed appreciation for the dedication of CTE educators:</w:t>
      </w:r>
    </w:p>
    <w:p w14:paraId="1DDDFE2F" w14:textId="30291E43" w:rsidR="002B0126" w:rsidRPr="009614C2" w:rsidRDefault="002B0126" w:rsidP="002B0126">
      <w:pPr>
        <w:rPr>
          <w:sz w:val="24"/>
          <w:szCs w:val="24"/>
        </w:rPr>
      </w:pPr>
      <w:r w:rsidRPr="009614C2">
        <w:rPr>
          <w:sz w:val="24"/>
          <w:szCs w:val="24"/>
        </w:rPr>
        <w:t xml:space="preserve">“At NCCAT, we are honored to celebrate and support the exceptional Career and Technical Education teachers who inspire and prepare the next generation of North Carolina’s workforce. The NCCAT Burroughs </w:t>
      </w:r>
      <w:proofErr w:type="spellStart"/>
      <w:r w:rsidRPr="009614C2">
        <w:rPr>
          <w:sz w:val="24"/>
          <w:szCs w:val="24"/>
        </w:rPr>
        <w:t>Wellcome</w:t>
      </w:r>
      <w:proofErr w:type="spellEnd"/>
      <w:r w:rsidRPr="009614C2">
        <w:rPr>
          <w:sz w:val="24"/>
          <w:szCs w:val="24"/>
        </w:rPr>
        <w:t xml:space="preserve"> Fund NC CTE Teacher of the Year Award highlights the dedication, innovation, and passion these educators bring to their classrooms every day. Th</w:t>
      </w:r>
      <w:r w:rsidR="006720EA">
        <w:rPr>
          <w:sz w:val="24"/>
          <w:szCs w:val="24"/>
        </w:rPr>
        <w:t>e</w:t>
      </w:r>
      <w:r w:rsidRPr="009614C2">
        <w:rPr>
          <w:sz w:val="24"/>
          <w:szCs w:val="24"/>
        </w:rPr>
        <w:t xml:space="preserve"> week of professional development </w:t>
      </w:r>
      <w:r w:rsidR="006C5185">
        <w:rPr>
          <w:sz w:val="24"/>
          <w:szCs w:val="24"/>
        </w:rPr>
        <w:t xml:space="preserve">for finalists </w:t>
      </w:r>
      <w:r w:rsidRPr="009614C2">
        <w:rPr>
          <w:sz w:val="24"/>
          <w:szCs w:val="24"/>
        </w:rPr>
        <w:t xml:space="preserve">recognizes their impact and equips them with valuable resources to continue fostering student success across our </w:t>
      </w:r>
      <w:proofErr w:type="gramStart"/>
      <w:r w:rsidRPr="009614C2">
        <w:rPr>
          <w:sz w:val="24"/>
          <w:szCs w:val="24"/>
        </w:rPr>
        <w:t>state.”</w:t>
      </w:r>
      <w:proofErr w:type="gramEnd"/>
    </w:p>
    <w:p w14:paraId="686D0167" w14:textId="77777777" w:rsidR="002B0126" w:rsidRPr="009614C2" w:rsidRDefault="002B0126" w:rsidP="002B0126">
      <w:pPr>
        <w:rPr>
          <w:sz w:val="24"/>
          <w:szCs w:val="24"/>
        </w:rPr>
      </w:pPr>
      <w:r w:rsidRPr="009614C2">
        <w:rPr>
          <w:sz w:val="24"/>
          <w:szCs w:val="24"/>
        </w:rPr>
        <w:t>Runner-Up and Finalists</w:t>
      </w:r>
    </w:p>
    <w:p w14:paraId="38DBAC54" w14:textId="739DE1EC" w:rsidR="002B0126" w:rsidRPr="009614C2" w:rsidRDefault="002B0126" w:rsidP="002B0126">
      <w:pPr>
        <w:rPr>
          <w:sz w:val="24"/>
          <w:szCs w:val="24"/>
        </w:rPr>
      </w:pPr>
      <w:r w:rsidRPr="009614C2">
        <w:rPr>
          <w:sz w:val="24"/>
          <w:szCs w:val="24"/>
        </w:rPr>
        <w:t>The runner-up for the NCCAT</w:t>
      </w:r>
      <w:r w:rsidR="00977125" w:rsidRPr="009614C2">
        <w:rPr>
          <w:sz w:val="24"/>
          <w:szCs w:val="24"/>
        </w:rPr>
        <w:t xml:space="preserve"> 202</w:t>
      </w:r>
      <w:r w:rsidR="002C0EC4" w:rsidRPr="009614C2">
        <w:rPr>
          <w:sz w:val="24"/>
          <w:szCs w:val="24"/>
        </w:rPr>
        <w:t>6</w:t>
      </w:r>
      <w:r w:rsidRPr="009614C2">
        <w:rPr>
          <w:sz w:val="24"/>
          <w:szCs w:val="24"/>
        </w:rPr>
        <w:t xml:space="preserve"> CTE Teacher of the Year </w:t>
      </w:r>
      <w:r w:rsidR="00F5603F" w:rsidRPr="009614C2">
        <w:rPr>
          <w:sz w:val="24"/>
          <w:szCs w:val="24"/>
        </w:rPr>
        <w:t xml:space="preserve">is </w:t>
      </w:r>
      <w:r w:rsidR="00AC6006" w:rsidRPr="009614C2">
        <w:rPr>
          <w:sz w:val="24"/>
          <w:szCs w:val="24"/>
        </w:rPr>
        <w:t>Lacey Davis</w:t>
      </w:r>
      <w:r w:rsidRPr="009614C2">
        <w:rPr>
          <w:sz w:val="24"/>
          <w:szCs w:val="24"/>
        </w:rPr>
        <w:t>, a</w:t>
      </w:r>
      <w:r w:rsidR="00F5603F" w:rsidRPr="009614C2">
        <w:rPr>
          <w:sz w:val="24"/>
          <w:szCs w:val="24"/>
        </w:rPr>
        <w:t xml:space="preserve"> </w:t>
      </w:r>
      <w:r w:rsidR="00436D2B" w:rsidRPr="009614C2">
        <w:rPr>
          <w:sz w:val="24"/>
          <w:szCs w:val="24"/>
        </w:rPr>
        <w:t>Family and Consumer Sciences</w:t>
      </w:r>
      <w:r w:rsidR="0088404E" w:rsidRPr="009614C2">
        <w:rPr>
          <w:sz w:val="24"/>
          <w:szCs w:val="24"/>
        </w:rPr>
        <w:t xml:space="preserve"> </w:t>
      </w:r>
      <w:r w:rsidRPr="009614C2">
        <w:rPr>
          <w:sz w:val="24"/>
          <w:szCs w:val="24"/>
        </w:rPr>
        <w:t xml:space="preserve">teacher </w:t>
      </w:r>
      <w:r w:rsidR="007A3CD4" w:rsidRPr="009614C2">
        <w:rPr>
          <w:sz w:val="24"/>
          <w:szCs w:val="24"/>
        </w:rPr>
        <w:t xml:space="preserve">at </w:t>
      </w:r>
      <w:r w:rsidR="00436D2B" w:rsidRPr="009614C2">
        <w:rPr>
          <w:sz w:val="24"/>
          <w:szCs w:val="24"/>
        </w:rPr>
        <w:t>Clyde A. Erwin High School</w:t>
      </w:r>
      <w:r w:rsidRPr="009614C2">
        <w:rPr>
          <w:sz w:val="24"/>
          <w:szCs w:val="24"/>
        </w:rPr>
        <w:t xml:space="preserve"> in</w:t>
      </w:r>
      <w:r w:rsidR="00F5603F" w:rsidRPr="009614C2">
        <w:rPr>
          <w:sz w:val="24"/>
          <w:szCs w:val="24"/>
        </w:rPr>
        <w:t xml:space="preserve"> B</w:t>
      </w:r>
      <w:r w:rsidR="00436D2B" w:rsidRPr="009614C2">
        <w:rPr>
          <w:sz w:val="24"/>
          <w:szCs w:val="24"/>
        </w:rPr>
        <w:t xml:space="preserve">uncombe </w:t>
      </w:r>
      <w:r w:rsidR="00F5603F" w:rsidRPr="009614C2">
        <w:rPr>
          <w:sz w:val="24"/>
          <w:szCs w:val="24"/>
        </w:rPr>
        <w:t>County Schools.</w:t>
      </w:r>
    </w:p>
    <w:p w14:paraId="4F2232A2" w14:textId="77777777" w:rsidR="00550477" w:rsidRPr="009614C2" w:rsidRDefault="00550477" w:rsidP="002B0126">
      <w:pPr>
        <w:rPr>
          <w:sz w:val="24"/>
          <w:szCs w:val="24"/>
        </w:rPr>
      </w:pPr>
    </w:p>
    <w:p w14:paraId="5E6ED92C" w14:textId="1C6F7798" w:rsidR="002B0126" w:rsidRPr="009614C2" w:rsidRDefault="002B0126" w:rsidP="002B0126">
      <w:pPr>
        <w:rPr>
          <w:sz w:val="24"/>
          <w:szCs w:val="24"/>
        </w:rPr>
      </w:pPr>
      <w:r w:rsidRPr="009614C2">
        <w:rPr>
          <w:sz w:val="24"/>
          <w:szCs w:val="24"/>
        </w:rPr>
        <w:t xml:space="preserve">Finalists for the </w:t>
      </w:r>
      <w:r w:rsidR="001D2888" w:rsidRPr="009614C2">
        <w:rPr>
          <w:sz w:val="24"/>
          <w:szCs w:val="24"/>
        </w:rPr>
        <w:t xml:space="preserve">NCCAT </w:t>
      </w:r>
      <w:r w:rsidRPr="009614C2">
        <w:rPr>
          <w:sz w:val="24"/>
          <w:szCs w:val="24"/>
        </w:rPr>
        <w:t>202</w:t>
      </w:r>
      <w:r w:rsidR="002C0EC4" w:rsidRPr="009614C2">
        <w:rPr>
          <w:sz w:val="24"/>
          <w:szCs w:val="24"/>
        </w:rPr>
        <w:t>6</w:t>
      </w:r>
      <w:r w:rsidRPr="009614C2">
        <w:rPr>
          <w:sz w:val="24"/>
          <w:szCs w:val="24"/>
        </w:rPr>
        <w:t xml:space="preserve"> Burroughs </w:t>
      </w:r>
      <w:proofErr w:type="spellStart"/>
      <w:r w:rsidRPr="009614C2">
        <w:rPr>
          <w:sz w:val="24"/>
          <w:szCs w:val="24"/>
        </w:rPr>
        <w:t>Wellcome</w:t>
      </w:r>
      <w:proofErr w:type="spellEnd"/>
      <w:r w:rsidRPr="009614C2">
        <w:rPr>
          <w:sz w:val="24"/>
          <w:szCs w:val="24"/>
        </w:rPr>
        <w:t xml:space="preserve"> Fund NC CTE Teacher of the Year Award include:</w:t>
      </w:r>
    </w:p>
    <w:p w14:paraId="10198338" w14:textId="77777777" w:rsidR="000A101F" w:rsidRPr="009614C2" w:rsidRDefault="000A101F" w:rsidP="000A101F">
      <w:pPr>
        <w:pStyle w:val="ListParagraph"/>
        <w:numPr>
          <w:ilvl w:val="0"/>
          <w:numId w:val="8"/>
        </w:numPr>
        <w:spacing w:line="278" w:lineRule="auto"/>
        <w:rPr>
          <w:rFonts w:cs="Times New Roman"/>
          <w:sz w:val="24"/>
          <w:szCs w:val="24"/>
        </w:rPr>
      </w:pPr>
      <w:r w:rsidRPr="009614C2">
        <w:rPr>
          <w:rFonts w:cs="Times New Roman"/>
          <w:sz w:val="24"/>
          <w:szCs w:val="24"/>
        </w:rPr>
        <w:t>Megan Colvard, Ashe County Schools</w:t>
      </w:r>
    </w:p>
    <w:p w14:paraId="3DCBC573" w14:textId="77777777" w:rsidR="000A101F" w:rsidRPr="009614C2" w:rsidRDefault="000A101F" w:rsidP="000A101F">
      <w:pPr>
        <w:pStyle w:val="ListParagraph"/>
        <w:numPr>
          <w:ilvl w:val="0"/>
          <w:numId w:val="8"/>
        </w:numPr>
        <w:spacing w:line="278" w:lineRule="auto"/>
        <w:rPr>
          <w:rFonts w:cs="Times New Roman"/>
          <w:sz w:val="24"/>
          <w:szCs w:val="24"/>
        </w:rPr>
      </w:pPr>
      <w:r w:rsidRPr="009614C2">
        <w:rPr>
          <w:rFonts w:cs="Times New Roman"/>
          <w:sz w:val="24"/>
          <w:szCs w:val="24"/>
        </w:rPr>
        <w:t>Sarah Lawrence, Bear Grass Charter School</w:t>
      </w:r>
    </w:p>
    <w:p w14:paraId="4D6298E7" w14:textId="77777777" w:rsidR="000A101F" w:rsidRPr="009614C2" w:rsidRDefault="000A101F" w:rsidP="000A101F">
      <w:pPr>
        <w:pStyle w:val="ListParagraph"/>
        <w:numPr>
          <w:ilvl w:val="0"/>
          <w:numId w:val="8"/>
        </w:numPr>
        <w:spacing w:line="278" w:lineRule="auto"/>
        <w:rPr>
          <w:rFonts w:cs="Times New Roman"/>
          <w:sz w:val="24"/>
          <w:szCs w:val="24"/>
        </w:rPr>
      </w:pPr>
      <w:r w:rsidRPr="009614C2">
        <w:rPr>
          <w:rFonts w:cs="Times New Roman"/>
          <w:sz w:val="24"/>
          <w:szCs w:val="24"/>
        </w:rPr>
        <w:lastRenderedPageBreak/>
        <w:t>Lacey Grogan Davis, Buncombe County Schools</w:t>
      </w:r>
    </w:p>
    <w:p w14:paraId="5A90C4BC" w14:textId="77777777" w:rsidR="000A101F" w:rsidRPr="009614C2" w:rsidRDefault="000A101F" w:rsidP="000A101F">
      <w:pPr>
        <w:pStyle w:val="ListParagraph"/>
        <w:numPr>
          <w:ilvl w:val="0"/>
          <w:numId w:val="8"/>
        </w:numPr>
        <w:spacing w:line="278" w:lineRule="auto"/>
        <w:rPr>
          <w:rFonts w:cs="Times New Roman"/>
          <w:sz w:val="24"/>
          <w:szCs w:val="24"/>
        </w:rPr>
      </w:pPr>
      <w:r w:rsidRPr="009614C2">
        <w:rPr>
          <w:rFonts w:cs="Times New Roman"/>
          <w:sz w:val="24"/>
          <w:szCs w:val="24"/>
        </w:rPr>
        <w:t>Heather Rose, Carteret County Public Schools</w:t>
      </w:r>
    </w:p>
    <w:p w14:paraId="7ED852EF" w14:textId="77777777" w:rsidR="000A101F" w:rsidRPr="009614C2" w:rsidRDefault="000A101F" w:rsidP="000A101F">
      <w:pPr>
        <w:pStyle w:val="ListParagraph"/>
        <w:numPr>
          <w:ilvl w:val="0"/>
          <w:numId w:val="8"/>
        </w:numPr>
        <w:spacing w:line="278" w:lineRule="auto"/>
        <w:rPr>
          <w:rFonts w:cs="Times New Roman"/>
          <w:sz w:val="24"/>
          <w:szCs w:val="24"/>
        </w:rPr>
      </w:pPr>
      <w:r w:rsidRPr="009614C2">
        <w:rPr>
          <w:rFonts w:cs="Times New Roman"/>
          <w:sz w:val="24"/>
          <w:szCs w:val="24"/>
        </w:rPr>
        <w:t>Sarah Chandler, Caswell County Schools</w:t>
      </w:r>
    </w:p>
    <w:p w14:paraId="4BF29794" w14:textId="77777777" w:rsidR="000A101F" w:rsidRPr="009614C2" w:rsidRDefault="000A101F" w:rsidP="000A101F">
      <w:pPr>
        <w:pStyle w:val="ListParagraph"/>
        <w:numPr>
          <w:ilvl w:val="0"/>
          <w:numId w:val="8"/>
        </w:numPr>
        <w:spacing w:line="278" w:lineRule="auto"/>
        <w:rPr>
          <w:rFonts w:cs="Times New Roman"/>
          <w:sz w:val="24"/>
          <w:szCs w:val="24"/>
        </w:rPr>
      </w:pPr>
      <w:r w:rsidRPr="009614C2">
        <w:rPr>
          <w:rFonts w:cs="Times New Roman"/>
          <w:sz w:val="24"/>
          <w:szCs w:val="24"/>
        </w:rPr>
        <w:t>Patty Berge, Chapel Hill-Carrboro City Schools</w:t>
      </w:r>
    </w:p>
    <w:p w14:paraId="34ADF33D" w14:textId="77777777" w:rsidR="000A101F" w:rsidRPr="009614C2" w:rsidRDefault="000A101F" w:rsidP="000A101F">
      <w:pPr>
        <w:pStyle w:val="ListParagraph"/>
        <w:numPr>
          <w:ilvl w:val="0"/>
          <w:numId w:val="8"/>
        </w:numPr>
        <w:spacing w:line="278" w:lineRule="auto"/>
        <w:rPr>
          <w:rFonts w:cs="Times New Roman"/>
          <w:sz w:val="24"/>
          <w:szCs w:val="24"/>
        </w:rPr>
      </w:pPr>
      <w:r w:rsidRPr="009614C2">
        <w:rPr>
          <w:rFonts w:cs="Times New Roman"/>
          <w:sz w:val="24"/>
          <w:szCs w:val="24"/>
        </w:rPr>
        <w:t>Tina White, Cleveland County Schools</w:t>
      </w:r>
    </w:p>
    <w:p w14:paraId="10594946" w14:textId="77777777" w:rsidR="000A101F" w:rsidRPr="009614C2" w:rsidRDefault="000A101F" w:rsidP="000A101F">
      <w:pPr>
        <w:pStyle w:val="ListParagraph"/>
        <w:numPr>
          <w:ilvl w:val="0"/>
          <w:numId w:val="8"/>
        </w:numPr>
        <w:spacing w:line="278" w:lineRule="auto"/>
        <w:rPr>
          <w:rFonts w:cs="Times New Roman"/>
          <w:sz w:val="24"/>
          <w:szCs w:val="24"/>
        </w:rPr>
      </w:pPr>
      <w:r w:rsidRPr="009614C2">
        <w:rPr>
          <w:rFonts w:cs="Times New Roman"/>
          <w:sz w:val="24"/>
          <w:szCs w:val="24"/>
        </w:rPr>
        <w:t>John Owens, Cumberland County Schools</w:t>
      </w:r>
    </w:p>
    <w:p w14:paraId="4C5CBB4D" w14:textId="77777777" w:rsidR="000A101F" w:rsidRPr="009614C2" w:rsidRDefault="000A101F" w:rsidP="000A101F">
      <w:pPr>
        <w:pStyle w:val="ListParagraph"/>
        <w:numPr>
          <w:ilvl w:val="0"/>
          <w:numId w:val="8"/>
        </w:numPr>
        <w:spacing w:line="278" w:lineRule="auto"/>
        <w:rPr>
          <w:rFonts w:cs="Times New Roman"/>
          <w:sz w:val="24"/>
          <w:szCs w:val="24"/>
        </w:rPr>
      </w:pPr>
      <w:r w:rsidRPr="009614C2">
        <w:rPr>
          <w:rFonts w:cs="Times New Roman"/>
          <w:sz w:val="24"/>
          <w:szCs w:val="24"/>
        </w:rPr>
        <w:t>Darren Moore, Dare County Schools</w:t>
      </w:r>
    </w:p>
    <w:p w14:paraId="1C8A4DA5" w14:textId="77777777" w:rsidR="000A101F" w:rsidRPr="009614C2" w:rsidRDefault="000A101F" w:rsidP="000A101F">
      <w:pPr>
        <w:pStyle w:val="ListParagraph"/>
        <w:numPr>
          <w:ilvl w:val="0"/>
          <w:numId w:val="8"/>
        </w:numPr>
        <w:spacing w:line="278" w:lineRule="auto"/>
        <w:rPr>
          <w:rFonts w:cs="Times New Roman"/>
          <w:sz w:val="24"/>
          <w:szCs w:val="24"/>
        </w:rPr>
      </w:pPr>
      <w:r w:rsidRPr="009614C2">
        <w:rPr>
          <w:rFonts w:cs="Times New Roman"/>
          <w:sz w:val="24"/>
          <w:szCs w:val="24"/>
        </w:rPr>
        <w:t>Paige Walker, Hickory Public Schools</w:t>
      </w:r>
    </w:p>
    <w:p w14:paraId="00D17029" w14:textId="77777777" w:rsidR="000A101F" w:rsidRPr="009614C2" w:rsidRDefault="000A101F" w:rsidP="000A101F">
      <w:pPr>
        <w:pStyle w:val="ListParagraph"/>
        <w:numPr>
          <w:ilvl w:val="0"/>
          <w:numId w:val="8"/>
        </w:numPr>
        <w:spacing w:line="278" w:lineRule="auto"/>
        <w:rPr>
          <w:rFonts w:cs="Times New Roman"/>
          <w:sz w:val="24"/>
          <w:szCs w:val="24"/>
        </w:rPr>
      </w:pPr>
      <w:r w:rsidRPr="009614C2">
        <w:rPr>
          <w:rFonts w:cs="Times New Roman"/>
          <w:sz w:val="24"/>
          <w:szCs w:val="24"/>
        </w:rPr>
        <w:t>Olivia Atchley, Iredell-Statesville Schools</w:t>
      </w:r>
    </w:p>
    <w:p w14:paraId="7DC897BA" w14:textId="77777777" w:rsidR="000A101F" w:rsidRPr="009614C2" w:rsidRDefault="000A101F" w:rsidP="000A101F">
      <w:pPr>
        <w:pStyle w:val="ListParagraph"/>
        <w:numPr>
          <w:ilvl w:val="0"/>
          <w:numId w:val="8"/>
        </w:numPr>
        <w:spacing w:line="278" w:lineRule="auto"/>
        <w:rPr>
          <w:rFonts w:cs="Times New Roman"/>
          <w:sz w:val="24"/>
          <w:szCs w:val="24"/>
        </w:rPr>
      </w:pPr>
      <w:r w:rsidRPr="009614C2">
        <w:rPr>
          <w:rFonts w:cs="Times New Roman"/>
          <w:sz w:val="24"/>
          <w:szCs w:val="24"/>
        </w:rPr>
        <w:t>Susan Perdue, Johnston County Public Schools</w:t>
      </w:r>
    </w:p>
    <w:p w14:paraId="1371BBAD" w14:textId="77777777" w:rsidR="000A101F" w:rsidRPr="009614C2" w:rsidRDefault="000A101F" w:rsidP="000A101F">
      <w:pPr>
        <w:pStyle w:val="ListParagraph"/>
        <w:numPr>
          <w:ilvl w:val="0"/>
          <w:numId w:val="8"/>
        </w:numPr>
        <w:spacing w:line="278" w:lineRule="auto"/>
        <w:rPr>
          <w:rFonts w:cs="Times New Roman"/>
          <w:sz w:val="24"/>
          <w:szCs w:val="24"/>
        </w:rPr>
      </w:pPr>
      <w:r w:rsidRPr="009614C2">
        <w:rPr>
          <w:rFonts w:cs="Times New Roman"/>
          <w:sz w:val="24"/>
          <w:szCs w:val="24"/>
        </w:rPr>
        <w:t>Gary Andersen, Kannapolis City Schools</w:t>
      </w:r>
    </w:p>
    <w:p w14:paraId="0D3999AB" w14:textId="77777777" w:rsidR="000A101F" w:rsidRPr="009614C2" w:rsidRDefault="000A101F" w:rsidP="000A101F">
      <w:pPr>
        <w:pStyle w:val="ListParagraph"/>
        <w:numPr>
          <w:ilvl w:val="0"/>
          <w:numId w:val="8"/>
        </w:numPr>
        <w:spacing w:line="278" w:lineRule="auto"/>
        <w:rPr>
          <w:rFonts w:cs="Times New Roman"/>
          <w:sz w:val="24"/>
          <w:szCs w:val="24"/>
        </w:rPr>
      </w:pPr>
      <w:r w:rsidRPr="009614C2">
        <w:rPr>
          <w:rFonts w:cs="Times New Roman"/>
          <w:sz w:val="24"/>
          <w:szCs w:val="24"/>
        </w:rPr>
        <w:t>Jessica Jones, Lenoir County Public Schools</w:t>
      </w:r>
    </w:p>
    <w:p w14:paraId="75C8E2F9" w14:textId="77777777" w:rsidR="000A101F" w:rsidRPr="009614C2" w:rsidRDefault="000A101F" w:rsidP="000A101F">
      <w:pPr>
        <w:pStyle w:val="ListParagraph"/>
        <w:numPr>
          <w:ilvl w:val="0"/>
          <w:numId w:val="8"/>
        </w:numPr>
        <w:spacing w:line="278" w:lineRule="auto"/>
        <w:rPr>
          <w:rFonts w:cs="Times New Roman"/>
          <w:sz w:val="24"/>
          <w:szCs w:val="24"/>
        </w:rPr>
      </w:pPr>
      <w:r w:rsidRPr="009614C2">
        <w:rPr>
          <w:rFonts w:cs="Times New Roman"/>
          <w:sz w:val="24"/>
          <w:szCs w:val="24"/>
        </w:rPr>
        <w:t>Larry Pickens, Macon County Schools</w:t>
      </w:r>
    </w:p>
    <w:p w14:paraId="36B870F4" w14:textId="77777777" w:rsidR="000A101F" w:rsidRPr="009614C2" w:rsidRDefault="000A101F" w:rsidP="000A101F">
      <w:pPr>
        <w:pStyle w:val="ListParagraph"/>
        <w:numPr>
          <w:ilvl w:val="0"/>
          <w:numId w:val="8"/>
        </w:numPr>
        <w:spacing w:line="278" w:lineRule="auto"/>
        <w:rPr>
          <w:rFonts w:cs="Times New Roman"/>
          <w:sz w:val="24"/>
          <w:szCs w:val="24"/>
        </w:rPr>
      </w:pPr>
      <w:r w:rsidRPr="009614C2">
        <w:rPr>
          <w:rFonts w:cs="Times New Roman"/>
          <w:sz w:val="24"/>
          <w:szCs w:val="24"/>
        </w:rPr>
        <w:t>Staci Shaw, McDowell County Schools</w:t>
      </w:r>
    </w:p>
    <w:p w14:paraId="5CD21C47" w14:textId="77777777" w:rsidR="000A101F" w:rsidRPr="009614C2" w:rsidRDefault="000A101F" w:rsidP="000A101F">
      <w:pPr>
        <w:pStyle w:val="ListParagraph"/>
        <w:numPr>
          <w:ilvl w:val="0"/>
          <w:numId w:val="8"/>
        </w:numPr>
        <w:spacing w:line="278" w:lineRule="auto"/>
        <w:rPr>
          <w:rFonts w:cs="Times New Roman"/>
          <w:sz w:val="24"/>
          <w:szCs w:val="24"/>
        </w:rPr>
      </w:pPr>
      <w:r w:rsidRPr="009614C2">
        <w:rPr>
          <w:rFonts w:cs="Times New Roman"/>
          <w:sz w:val="24"/>
          <w:szCs w:val="24"/>
        </w:rPr>
        <w:t>Mike Bartholomew, Nash County Public Schools</w:t>
      </w:r>
    </w:p>
    <w:p w14:paraId="0393AF41" w14:textId="77777777" w:rsidR="000A101F" w:rsidRPr="009614C2" w:rsidRDefault="000A101F" w:rsidP="000A101F">
      <w:pPr>
        <w:pStyle w:val="ListParagraph"/>
        <w:numPr>
          <w:ilvl w:val="0"/>
          <w:numId w:val="8"/>
        </w:numPr>
        <w:spacing w:line="278" w:lineRule="auto"/>
        <w:rPr>
          <w:rFonts w:cs="Times New Roman"/>
          <w:sz w:val="24"/>
          <w:szCs w:val="24"/>
        </w:rPr>
      </w:pPr>
      <w:r w:rsidRPr="009614C2">
        <w:rPr>
          <w:rFonts w:cs="Times New Roman"/>
          <w:sz w:val="24"/>
          <w:szCs w:val="24"/>
        </w:rPr>
        <w:t>Trey Moore, New Hanover County Schools</w:t>
      </w:r>
    </w:p>
    <w:p w14:paraId="53B713D3" w14:textId="77777777" w:rsidR="000A101F" w:rsidRPr="009614C2" w:rsidRDefault="000A101F" w:rsidP="000A101F">
      <w:pPr>
        <w:pStyle w:val="ListParagraph"/>
        <w:numPr>
          <w:ilvl w:val="0"/>
          <w:numId w:val="8"/>
        </w:numPr>
        <w:spacing w:line="278" w:lineRule="auto"/>
        <w:rPr>
          <w:rFonts w:cs="Times New Roman"/>
          <w:sz w:val="24"/>
          <w:szCs w:val="24"/>
        </w:rPr>
      </w:pPr>
      <w:r w:rsidRPr="009614C2">
        <w:rPr>
          <w:rFonts w:cs="Times New Roman"/>
          <w:sz w:val="24"/>
          <w:szCs w:val="24"/>
        </w:rPr>
        <w:t>Michaelle Overman, Perquimans County Schools</w:t>
      </w:r>
    </w:p>
    <w:p w14:paraId="31805CDF" w14:textId="77777777" w:rsidR="000A101F" w:rsidRPr="009614C2" w:rsidRDefault="000A101F" w:rsidP="000A101F">
      <w:pPr>
        <w:pStyle w:val="ListParagraph"/>
        <w:numPr>
          <w:ilvl w:val="0"/>
          <w:numId w:val="8"/>
        </w:numPr>
        <w:spacing w:line="278" w:lineRule="auto"/>
        <w:rPr>
          <w:rFonts w:cs="Times New Roman"/>
          <w:sz w:val="24"/>
          <w:szCs w:val="24"/>
        </w:rPr>
      </w:pPr>
      <w:r w:rsidRPr="009614C2">
        <w:rPr>
          <w:rFonts w:cs="Times New Roman"/>
          <w:sz w:val="24"/>
          <w:szCs w:val="24"/>
        </w:rPr>
        <w:t>Ashley Gilbert, Polk County Schools</w:t>
      </w:r>
    </w:p>
    <w:p w14:paraId="24779AF9" w14:textId="77777777" w:rsidR="000A101F" w:rsidRPr="009614C2" w:rsidRDefault="000A101F" w:rsidP="000A101F">
      <w:pPr>
        <w:pStyle w:val="ListParagraph"/>
        <w:numPr>
          <w:ilvl w:val="0"/>
          <w:numId w:val="8"/>
        </w:numPr>
        <w:spacing w:line="278" w:lineRule="auto"/>
        <w:rPr>
          <w:rFonts w:cs="Times New Roman"/>
          <w:sz w:val="24"/>
          <w:szCs w:val="24"/>
        </w:rPr>
      </w:pPr>
      <w:r w:rsidRPr="009614C2">
        <w:rPr>
          <w:rFonts w:cs="Times New Roman"/>
          <w:sz w:val="24"/>
          <w:szCs w:val="24"/>
        </w:rPr>
        <w:t>Mark Walker, Randolph County Schools</w:t>
      </w:r>
    </w:p>
    <w:p w14:paraId="1B8112A2" w14:textId="77777777" w:rsidR="000A101F" w:rsidRPr="009614C2" w:rsidRDefault="000A101F" w:rsidP="000A101F">
      <w:pPr>
        <w:pStyle w:val="ListParagraph"/>
        <w:numPr>
          <w:ilvl w:val="0"/>
          <w:numId w:val="8"/>
        </w:numPr>
        <w:spacing w:line="278" w:lineRule="auto"/>
        <w:rPr>
          <w:rFonts w:cs="Times New Roman"/>
          <w:sz w:val="24"/>
          <w:szCs w:val="24"/>
        </w:rPr>
      </w:pPr>
      <w:r w:rsidRPr="009614C2">
        <w:rPr>
          <w:rFonts w:cs="Times New Roman"/>
          <w:sz w:val="24"/>
          <w:szCs w:val="24"/>
        </w:rPr>
        <w:t>Johnny Jessup, Sampson County Schools</w:t>
      </w:r>
    </w:p>
    <w:p w14:paraId="41B491F7" w14:textId="77777777" w:rsidR="000A101F" w:rsidRPr="009614C2" w:rsidRDefault="000A101F" w:rsidP="000A101F">
      <w:pPr>
        <w:pStyle w:val="ListParagraph"/>
        <w:numPr>
          <w:ilvl w:val="0"/>
          <w:numId w:val="8"/>
        </w:numPr>
        <w:spacing w:line="278" w:lineRule="auto"/>
        <w:rPr>
          <w:rFonts w:cs="Times New Roman"/>
          <w:sz w:val="24"/>
          <w:szCs w:val="24"/>
        </w:rPr>
      </w:pPr>
      <w:r w:rsidRPr="009614C2">
        <w:rPr>
          <w:rFonts w:cs="Times New Roman"/>
          <w:sz w:val="24"/>
          <w:szCs w:val="24"/>
        </w:rPr>
        <w:t>Neil Smith, Scotland County Schools</w:t>
      </w:r>
    </w:p>
    <w:p w14:paraId="475084A6" w14:textId="77777777" w:rsidR="000A101F" w:rsidRPr="009614C2" w:rsidRDefault="000A101F" w:rsidP="000A101F">
      <w:pPr>
        <w:pStyle w:val="ListParagraph"/>
        <w:numPr>
          <w:ilvl w:val="0"/>
          <w:numId w:val="8"/>
        </w:numPr>
        <w:spacing w:line="278" w:lineRule="auto"/>
        <w:rPr>
          <w:rFonts w:cs="Times New Roman"/>
          <w:sz w:val="24"/>
          <w:szCs w:val="24"/>
        </w:rPr>
      </w:pPr>
      <w:r w:rsidRPr="009614C2">
        <w:rPr>
          <w:rFonts w:cs="Times New Roman"/>
          <w:sz w:val="24"/>
          <w:szCs w:val="24"/>
        </w:rPr>
        <w:t>Lauren Murphy, Surry County Schools</w:t>
      </w:r>
    </w:p>
    <w:p w14:paraId="713C6E47" w14:textId="77777777" w:rsidR="00550477" w:rsidRPr="009614C2" w:rsidRDefault="00550477" w:rsidP="002B0126">
      <w:pPr>
        <w:rPr>
          <w:sz w:val="24"/>
          <w:szCs w:val="24"/>
        </w:rPr>
      </w:pPr>
    </w:p>
    <w:p w14:paraId="1A36B134" w14:textId="53655360" w:rsidR="002B0126" w:rsidRPr="009614C2" w:rsidRDefault="002B0126" w:rsidP="002B0126">
      <w:pPr>
        <w:rPr>
          <w:sz w:val="24"/>
          <w:szCs w:val="24"/>
        </w:rPr>
      </w:pPr>
      <w:r w:rsidRPr="009614C2">
        <w:rPr>
          <w:sz w:val="24"/>
          <w:szCs w:val="24"/>
        </w:rPr>
        <w:t>Awards and Recognition</w:t>
      </w:r>
      <w:r w:rsidR="00E841C0" w:rsidRPr="009614C2">
        <w:rPr>
          <w:sz w:val="24"/>
          <w:szCs w:val="24"/>
        </w:rPr>
        <w:t>, provided by the Development Foundation of NCCAT, Inc., include:</w:t>
      </w:r>
    </w:p>
    <w:p w14:paraId="3F38E5BE" w14:textId="47F1C1D9" w:rsidR="002B0126" w:rsidRPr="009614C2" w:rsidRDefault="002B0126" w:rsidP="002B0126">
      <w:pPr>
        <w:rPr>
          <w:sz w:val="24"/>
          <w:szCs w:val="24"/>
        </w:rPr>
      </w:pPr>
      <w:r w:rsidRPr="009614C2">
        <w:rPr>
          <w:sz w:val="24"/>
          <w:szCs w:val="24"/>
        </w:rPr>
        <w:t>The NCCAT CTE Teacher of the Year receive</w:t>
      </w:r>
      <w:r w:rsidR="00B74B0D" w:rsidRPr="009614C2">
        <w:rPr>
          <w:sz w:val="24"/>
          <w:szCs w:val="24"/>
        </w:rPr>
        <w:t>s</w:t>
      </w:r>
      <w:r w:rsidRPr="009614C2">
        <w:rPr>
          <w:sz w:val="24"/>
          <w:szCs w:val="24"/>
        </w:rPr>
        <w:t>:</w:t>
      </w:r>
    </w:p>
    <w:p w14:paraId="04D2794D" w14:textId="77777777" w:rsidR="002B0126" w:rsidRPr="009614C2" w:rsidRDefault="002B0126" w:rsidP="002B0126">
      <w:pPr>
        <w:numPr>
          <w:ilvl w:val="0"/>
          <w:numId w:val="1"/>
        </w:numPr>
        <w:rPr>
          <w:sz w:val="24"/>
          <w:szCs w:val="24"/>
        </w:rPr>
      </w:pPr>
      <w:r w:rsidRPr="009614C2">
        <w:rPr>
          <w:sz w:val="24"/>
          <w:szCs w:val="24"/>
        </w:rPr>
        <w:t>$5,000 cash prize</w:t>
      </w:r>
    </w:p>
    <w:p w14:paraId="19843932" w14:textId="77777777" w:rsidR="002B0126" w:rsidRPr="009614C2" w:rsidRDefault="002B0126" w:rsidP="002B0126">
      <w:pPr>
        <w:numPr>
          <w:ilvl w:val="0"/>
          <w:numId w:val="1"/>
        </w:numPr>
        <w:rPr>
          <w:sz w:val="24"/>
          <w:szCs w:val="24"/>
        </w:rPr>
      </w:pPr>
      <w:r w:rsidRPr="009614C2">
        <w:rPr>
          <w:sz w:val="24"/>
          <w:szCs w:val="24"/>
        </w:rPr>
        <w:t>Instructional supply funds for their school</w:t>
      </w:r>
    </w:p>
    <w:p w14:paraId="0092EBD0" w14:textId="77777777" w:rsidR="002B0126" w:rsidRPr="009614C2" w:rsidRDefault="002B0126" w:rsidP="002B0126">
      <w:pPr>
        <w:numPr>
          <w:ilvl w:val="0"/>
          <w:numId w:val="1"/>
        </w:numPr>
        <w:rPr>
          <w:sz w:val="24"/>
          <w:szCs w:val="24"/>
        </w:rPr>
      </w:pPr>
      <w:r w:rsidRPr="009614C2">
        <w:rPr>
          <w:sz w:val="24"/>
          <w:szCs w:val="24"/>
        </w:rPr>
        <w:t>Three-year membership in NCACTE</w:t>
      </w:r>
    </w:p>
    <w:p w14:paraId="1F6D4A54" w14:textId="77777777" w:rsidR="002B0126" w:rsidRPr="009614C2" w:rsidRDefault="002B0126" w:rsidP="002B0126">
      <w:pPr>
        <w:numPr>
          <w:ilvl w:val="0"/>
          <w:numId w:val="1"/>
        </w:numPr>
        <w:rPr>
          <w:sz w:val="24"/>
          <w:szCs w:val="24"/>
        </w:rPr>
      </w:pPr>
      <w:r w:rsidRPr="009614C2">
        <w:rPr>
          <w:sz w:val="24"/>
          <w:szCs w:val="24"/>
        </w:rPr>
        <w:t>Participation in the national ACTE Conference as the NC ACTE Teacher of the Year representative</w:t>
      </w:r>
    </w:p>
    <w:p w14:paraId="3EC94219" w14:textId="2F3677E6" w:rsidR="002B0126" w:rsidRPr="009614C2" w:rsidRDefault="002B0126" w:rsidP="002B0126">
      <w:pPr>
        <w:rPr>
          <w:sz w:val="24"/>
          <w:szCs w:val="24"/>
        </w:rPr>
      </w:pPr>
      <w:r w:rsidRPr="009614C2">
        <w:rPr>
          <w:sz w:val="24"/>
          <w:szCs w:val="24"/>
        </w:rPr>
        <w:t>The runner-up receive</w:t>
      </w:r>
      <w:r w:rsidR="00B74B0D" w:rsidRPr="009614C2">
        <w:rPr>
          <w:sz w:val="24"/>
          <w:szCs w:val="24"/>
        </w:rPr>
        <w:t>s</w:t>
      </w:r>
      <w:r w:rsidRPr="009614C2">
        <w:rPr>
          <w:sz w:val="24"/>
          <w:szCs w:val="24"/>
        </w:rPr>
        <w:t>:</w:t>
      </w:r>
    </w:p>
    <w:p w14:paraId="49F9864C" w14:textId="77777777" w:rsidR="002B0126" w:rsidRPr="009614C2" w:rsidRDefault="002B0126" w:rsidP="002B0126">
      <w:pPr>
        <w:numPr>
          <w:ilvl w:val="0"/>
          <w:numId w:val="2"/>
        </w:numPr>
        <w:rPr>
          <w:sz w:val="24"/>
          <w:szCs w:val="24"/>
        </w:rPr>
      </w:pPr>
      <w:r w:rsidRPr="009614C2">
        <w:rPr>
          <w:sz w:val="24"/>
          <w:szCs w:val="24"/>
        </w:rPr>
        <w:t>$2,000 cash prize</w:t>
      </w:r>
    </w:p>
    <w:p w14:paraId="04A1DF3D" w14:textId="77777777" w:rsidR="002B0126" w:rsidRPr="009614C2" w:rsidRDefault="002B0126" w:rsidP="002B0126">
      <w:pPr>
        <w:numPr>
          <w:ilvl w:val="0"/>
          <w:numId w:val="2"/>
        </w:numPr>
        <w:rPr>
          <w:sz w:val="24"/>
          <w:szCs w:val="24"/>
        </w:rPr>
      </w:pPr>
      <w:r w:rsidRPr="009614C2">
        <w:rPr>
          <w:sz w:val="24"/>
          <w:szCs w:val="24"/>
        </w:rPr>
        <w:t>Three-year membership in NCACTE</w:t>
      </w:r>
    </w:p>
    <w:p w14:paraId="50FDE187" w14:textId="57A27205" w:rsidR="002B0126" w:rsidRPr="009614C2" w:rsidRDefault="002B0126" w:rsidP="002B0126">
      <w:pPr>
        <w:rPr>
          <w:sz w:val="24"/>
          <w:szCs w:val="24"/>
        </w:rPr>
      </w:pPr>
      <w:r w:rsidRPr="009614C2">
        <w:rPr>
          <w:sz w:val="24"/>
          <w:szCs w:val="24"/>
        </w:rPr>
        <w:t>Finalists receive:</w:t>
      </w:r>
    </w:p>
    <w:p w14:paraId="36C1E4FD" w14:textId="5604B13F" w:rsidR="002B0126" w:rsidRPr="009614C2" w:rsidRDefault="002B0126" w:rsidP="002B0126">
      <w:pPr>
        <w:numPr>
          <w:ilvl w:val="0"/>
          <w:numId w:val="3"/>
        </w:numPr>
        <w:rPr>
          <w:sz w:val="24"/>
          <w:szCs w:val="24"/>
        </w:rPr>
      </w:pPr>
      <w:r w:rsidRPr="009614C2">
        <w:rPr>
          <w:sz w:val="24"/>
          <w:szCs w:val="24"/>
        </w:rPr>
        <w:t xml:space="preserve">Travel and substitute </w:t>
      </w:r>
      <w:proofErr w:type="gramStart"/>
      <w:r w:rsidRPr="009614C2">
        <w:rPr>
          <w:sz w:val="24"/>
          <w:szCs w:val="24"/>
        </w:rPr>
        <w:t>cost</w:t>
      </w:r>
      <w:proofErr w:type="gramEnd"/>
      <w:r w:rsidRPr="009614C2">
        <w:rPr>
          <w:sz w:val="24"/>
          <w:szCs w:val="24"/>
        </w:rPr>
        <w:t xml:space="preserve"> for NCCAT professional development</w:t>
      </w:r>
    </w:p>
    <w:p w14:paraId="477A9BCC" w14:textId="77777777" w:rsidR="002B0126" w:rsidRPr="009614C2" w:rsidRDefault="002B0126" w:rsidP="002B0126">
      <w:pPr>
        <w:numPr>
          <w:ilvl w:val="0"/>
          <w:numId w:val="3"/>
        </w:numPr>
        <w:rPr>
          <w:sz w:val="24"/>
          <w:szCs w:val="24"/>
        </w:rPr>
      </w:pPr>
      <w:r w:rsidRPr="009614C2">
        <w:rPr>
          <w:sz w:val="24"/>
          <w:szCs w:val="24"/>
        </w:rPr>
        <w:t>One-year membership in NCACTE</w:t>
      </w:r>
    </w:p>
    <w:p w14:paraId="45B7AB70" w14:textId="5E389AC4" w:rsidR="002B0126" w:rsidRPr="009614C2" w:rsidRDefault="002B0126" w:rsidP="002B0126">
      <w:pPr>
        <w:rPr>
          <w:sz w:val="24"/>
          <w:szCs w:val="24"/>
        </w:rPr>
      </w:pPr>
      <w:r w:rsidRPr="009614C2">
        <w:rPr>
          <w:sz w:val="24"/>
          <w:szCs w:val="24"/>
        </w:rPr>
        <w:t>Sponsors</w:t>
      </w:r>
    </w:p>
    <w:p w14:paraId="3238C8B9" w14:textId="77777777" w:rsidR="002B0126" w:rsidRPr="009614C2" w:rsidRDefault="002B0126" w:rsidP="002B0126">
      <w:pPr>
        <w:rPr>
          <w:sz w:val="24"/>
          <w:szCs w:val="24"/>
        </w:rPr>
      </w:pPr>
      <w:r w:rsidRPr="009614C2">
        <w:rPr>
          <w:sz w:val="24"/>
          <w:szCs w:val="24"/>
        </w:rPr>
        <w:t>NCCAT extends its gratitude to the generous sponsors who make this program possible:</w:t>
      </w:r>
    </w:p>
    <w:p w14:paraId="5E22468F" w14:textId="77777777" w:rsidR="001D4C56" w:rsidRPr="009614C2" w:rsidRDefault="001D4C56" w:rsidP="009614C2">
      <w:pPr>
        <w:spacing w:line="240" w:lineRule="auto"/>
        <w:rPr>
          <w:sz w:val="24"/>
          <w:szCs w:val="24"/>
        </w:rPr>
      </w:pPr>
      <w:r w:rsidRPr="009614C2">
        <w:rPr>
          <w:sz w:val="24"/>
          <w:szCs w:val="24"/>
        </w:rPr>
        <w:t xml:space="preserve">Signature Sponsor: </w:t>
      </w:r>
    </w:p>
    <w:p w14:paraId="63F9C42C" w14:textId="77777777" w:rsidR="001D4C56" w:rsidRPr="009614C2" w:rsidRDefault="001D4C56" w:rsidP="009614C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9614C2">
        <w:rPr>
          <w:sz w:val="24"/>
          <w:szCs w:val="24"/>
        </w:rPr>
        <w:t xml:space="preserve">Burroughs </w:t>
      </w:r>
      <w:proofErr w:type="spellStart"/>
      <w:r w:rsidRPr="009614C2">
        <w:rPr>
          <w:sz w:val="24"/>
          <w:szCs w:val="24"/>
        </w:rPr>
        <w:t>Wellcome</w:t>
      </w:r>
      <w:proofErr w:type="spellEnd"/>
      <w:r w:rsidRPr="009614C2">
        <w:rPr>
          <w:sz w:val="24"/>
          <w:szCs w:val="24"/>
        </w:rPr>
        <w:t xml:space="preserve"> Fund</w:t>
      </w:r>
    </w:p>
    <w:p w14:paraId="7FE7BF38" w14:textId="77777777" w:rsidR="001D4C56" w:rsidRPr="009614C2" w:rsidRDefault="001D4C56" w:rsidP="009614C2">
      <w:pPr>
        <w:spacing w:line="240" w:lineRule="auto"/>
        <w:rPr>
          <w:sz w:val="24"/>
          <w:szCs w:val="24"/>
        </w:rPr>
      </w:pPr>
      <w:r w:rsidRPr="009614C2">
        <w:rPr>
          <w:sz w:val="24"/>
          <w:szCs w:val="24"/>
        </w:rPr>
        <w:t xml:space="preserve">Gold Sponsor: </w:t>
      </w:r>
    </w:p>
    <w:p w14:paraId="789FD57B" w14:textId="77777777" w:rsidR="001D4C56" w:rsidRPr="009614C2" w:rsidRDefault="001D4C56" w:rsidP="009614C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proofErr w:type="spellStart"/>
      <w:r w:rsidRPr="009614C2">
        <w:rPr>
          <w:sz w:val="24"/>
          <w:szCs w:val="24"/>
        </w:rPr>
        <w:t>iCEV</w:t>
      </w:r>
      <w:proofErr w:type="spellEnd"/>
      <w:r w:rsidRPr="009614C2">
        <w:rPr>
          <w:sz w:val="24"/>
          <w:szCs w:val="24"/>
        </w:rPr>
        <w:t xml:space="preserve"> Multimedia</w:t>
      </w:r>
    </w:p>
    <w:p w14:paraId="26CDBF8E" w14:textId="316E5C26" w:rsidR="001D4C56" w:rsidRPr="009614C2" w:rsidRDefault="001D4C56" w:rsidP="009614C2">
      <w:pPr>
        <w:spacing w:line="240" w:lineRule="auto"/>
        <w:rPr>
          <w:sz w:val="24"/>
          <w:szCs w:val="24"/>
        </w:rPr>
      </w:pPr>
      <w:r w:rsidRPr="009614C2">
        <w:rPr>
          <w:sz w:val="24"/>
          <w:szCs w:val="24"/>
        </w:rPr>
        <w:t>Silver Sponsor</w:t>
      </w:r>
      <w:r w:rsidR="00E2334C" w:rsidRPr="009614C2">
        <w:rPr>
          <w:sz w:val="24"/>
          <w:szCs w:val="24"/>
        </w:rPr>
        <w:t>s</w:t>
      </w:r>
      <w:r w:rsidRPr="009614C2">
        <w:rPr>
          <w:sz w:val="24"/>
          <w:szCs w:val="24"/>
        </w:rPr>
        <w:t xml:space="preserve">: </w:t>
      </w:r>
    </w:p>
    <w:tbl>
      <w:tblPr>
        <w:tblW w:w="4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</w:tblGrid>
      <w:tr w:rsidR="008B3114" w:rsidRPr="009614C2" w14:paraId="572EFE17" w14:textId="77777777" w:rsidTr="00B866E7">
        <w:trPr>
          <w:trHeight w:val="290"/>
        </w:trPr>
        <w:tc>
          <w:tcPr>
            <w:tcW w:w="3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A1E73" w14:textId="77777777" w:rsidR="008B3114" w:rsidRPr="009614C2" w:rsidRDefault="008B3114" w:rsidP="009614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9614C2">
              <w:rPr>
                <w:sz w:val="24"/>
                <w:szCs w:val="24"/>
              </w:rPr>
              <w:t>NRF Foundation</w:t>
            </w:r>
          </w:p>
        </w:tc>
      </w:tr>
      <w:tr w:rsidR="008B3114" w:rsidRPr="009614C2" w14:paraId="01716853" w14:textId="77777777" w:rsidTr="00B866E7">
        <w:trPr>
          <w:trHeight w:val="290"/>
        </w:trPr>
        <w:tc>
          <w:tcPr>
            <w:tcW w:w="3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689CE" w14:textId="77777777" w:rsidR="008B3114" w:rsidRPr="009614C2" w:rsidRDefault="008B3114" w:rsidP="009614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9614C2">
              <w:rPr>
                <w:sz w:val="24"/>
                <w:szCs w:val="24"/>
              </w:rPr>
              <w:t>Positivity Project</w:t>
            </w:r>
          </w:p>
        </w:tc>
      </w:tr>
    </w:tbl>
    <w:p w14:paraId="615110CF" w14:textId="77777777" w:rsidR="001D4C56" w:rsidRPr="009614C2" w:rsidRDefault="001D4C56" w:rsidP="009614C2">
      <w:pPr>
        <w:spacing w:line="240" w:lineRule="auto"/>
        <w:rPr>
          <w:sz w:val="24"/>
          <w:szCs w:val="24"/>
        </w:rPr>
      </w:pPr>
      <w:r w:rsidRPr="009614C2">
        <w:rPr>
          <w:sz w:val="24"/>
          <w:szCs w:val="24"/>
        </w:rPr>
        <w:t xml:space="preserve">Bronze Sponsors: </w:t>
      </w:r>
    </w:p>
    <w:tbl>
      <w:tblPr>
        <w:tblW w:w="4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</w:tblGrid>
      <w:tr w:rsidR="00AD3DE4" w:rsidRPr="009614C2" w14:paraId="70691823" w14:textId="77777777" w:rsidTr="00B866E7">
        <w:trPr>
          <w:trHeight w:val="290"/>
        </w:trPr>
        <w:tc>
          <w:tcPr>
            <w:tcW w:w="3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10390B" w14:textId="77777777" w:rsidR="00AD3DE4" w:rsidRPr="009614C2" w:rsidRDefault="00AD3DE4" w:rsidP="009614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9614C2">
              <w:rPr>
                <w:sz w:val="24"/>
                <w:szCs w:val="24"/>
              </w:rPr>
              <w:t>Branching Minds</w:t>
            </w:r>
          </w:p>
        </w:tc>
      </w:tr>
      <w:tr w:rsidR="00AD3DE4" w:rsidRPr="009614C2" w14:paraId="62C29AD9" w14:textId="77777777" w:rsidTr="00B866E7">
        <w:trPr>
          <w:trHeight w:val="290"/>
        </w:trPr>
        <w:tc>
          <w:tcPr>
            <w:tcW w:w="3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CFD8F3" w14:textId="77777777" w:rsidR="00AD3DE4" w:rsidRPr="009614C2" w:rsidRDefault="00AD3DE4" w:rsidP="009614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9614C2">
              <w:rPr>
                <w:sz w:val="24"/>
                <w:szCs w:val="24"/>
              </w:rPr>
              <w:t>Edmentum</w:t>
            </w:r>
          </w:p>
        </w:tc>
      </w:tr>
      <w:tr w:rsidR="00AD3DE4" w:rsidRPr="009614C2" w14:paraId="53DEBEF9" w14:textId="77777777" w:rsidTr="00B866E7">
        <w:trPr>
          <w:trHeight w:val="290"/>
        </w:trPr>
        <w:tc>
          <w:tcPr>
            <w:tcW w:w="3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B55FD" w14:textId="77777777" w:rsidR="00AD3DE4" w:rsidRPr="009614C2" w:rsidRDefault="00AD3DE4" w:rsidP="009614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9614C2">
              <w:rPr>
                <w:sz w:val="24"/>
                <w:szCs w:val="24"/>
              </w:rPr>
              <w:t>HMH</w:t>
            </w:r>
          </w:p>
        </w:tc>
      </w:tr>
      <w:tr w:rsidR="00AD3DE4" w:rsidRPr="009614C2" w14:paraId="7ECA6D5A" w14:textId="77777777" w:rsidTr="00B866E7">
        <w:trPr>
          <w:trHeight w:val="290"/>
        </w:trPr>
        <w:tc>
          <w:tcPr>
            <w:tcW w:w="3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513E29" w14:textId="77777777" w:rsidR="00AD3DE4" w:rsidRPr="009614C2" w:rsidRDefault="00AD3DE4" w:rsidP="009614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9614C2">
              <w:rPr>
                <w:sz w:val="24"/>
                <w:szCs w:val="24"/>
              </w:rPr>
              <w:t>Instructure</w:t>
            </w:r>
          </w:p>
        </w:tc>
      </w:tr>
      <w:tr w:rsidR="00AD3DE4" w:rsidRPr="009614C2" w14:paraId="354882BF" w14:textId="77777777" w:rsidTr="00B866E7">
        <w:trPr>
          <w:trHeight w:val="290"/>
        </w:trPr>
        <w:tc>
          <w:tcPr>
            <w:tcW w:w="3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D21A52" w14:textId="77777777" w:rsidR="00AD3DE4" w:rsidRPr="009614C2" w:rsidRDefault="00AD3DE4" w:rsidP="009614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9614C2">
              <w:rPr>
                <w:sz w:val="24"/>
                <w:szCs w:val="24"/>
              </w:rPr>
              <w:t>Mark III Employee Benefits</w:t>
            </w:r>
          </w:p>
        </w:tc>
      </w:tr>
      <w:tr w:rsidR="00AD3DE4" w:rsidRPr="009614C2" w14:paraId="7D18A8D5" w14:textId="77777777" w:rsidTr="00B866E7">
        <w:trPr>
          <w:trHeight w:val="290"/>
        </w:trPr>
        <w:tc>
          <w:tcPr>
            <w:tcW w:w="3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CCB3C0" w14:textId="77777777" w:rsidR="00AD3DE4" w:rsidRPr="009614C2" w:rsidRDefault="00AD3DE4" w:rsidP="009614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9614C2">
              <w:rPr>
                <w:sz w:val="24"/>
                <w:szCs w:val="24"/>
              </w:rPr>
              <w:t>Project Lead the Way</w:t>
            </w:r>
          </w:p>
        </w:tc>
      </w:tr>
      <w:tr w:rsidR="00AD3DE4" w:rsidRPr="009614C2" w14:paraId="6B163D26" w14:textId="77777777" w:rsidTr="00B866E7">
        <w:trPr>
          <w:trHeight w:val="290"/>
        </w:trPr>
        <w:tc>
          <w:tcPr>
            <w:tcW w:w="3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11FCA6" w14:textId="77777777" w:rsidR="00AD3DE4" w:rsidRPr="009614C2" w:rsidRDefault="00AD3DE4" w:rsidP="009614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9614C2">
              <w:rPr>
                <w:sz w:val="24"/>
                <w:szCs w:val="24"/>
              </w:rPr>
              <w:t>Schwartz Law, PLLC</w:t>
            </w:r>
          </w:p>
        </w:tc>
      </w:tr>
      <w:tr w:rsidR="00AD3DE4" w:rsidRPr="009614C2" w14:paraId="39B44E32" w14:textId="77777777" w:rsidTr="00B866E7">
        <w:trPr>
          <w:trHeight w:val="290"/>
        </w:trPr>
        <w:tc>
          <w:tcPr>
            <w:tcW w:w="3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34DAA2" w14:textId="77777777" w:rsidR="00AD3DE4" w:rsidRPr="009614C2" w:rsidRDefault="00AD3DE4" w:rsidP="009614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9614C2">
              <w:rPr>
                <w:sz w:val="24"/>
                <w:szCs w:val="24"/>
              </w:rPr>
              <w:t>SFLA Architects</w:t>
            </w:r>
          </w:p>
        </w:tc>
      </w:tr>
    </w:tbl>
    <w:p w14:paraId="0B2EA250" w14:textId="77777777" w:rsidR="001D4C56" w:rsidRPr="009614C2" w:rsidRDefault="001D4C56" w:rsidP="009614C2">
      <w:pPr>
        <w:spacing w:line="240" w:lineRule="auto"/>
        <w:rPr>
          <w:sz w:val="24"/>
          <w:szCs w:val="24"/>
        </w:rPr>
      </w:pPr>
      <w:r w:rsidRPr="009614C2">
        <w:rPr>
          <w:sz w:val="24"/>
          <w:szCs w:val="24"/>
        </w:rPr>
        <w:t>Patron Sponsors:</w:t>
      </w:r>
    </w:p>
    <w:tbl>
      <w:tblPr>
        <w:tblW w:w="4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</w:tblGrid>
      <w:tr w:rsidR="00920A4B" w:rsidRPr="009614C2" w14:paraId="05B63EA3" w14:textId="77777777" w:rsidTr="00B866E7">
        <w:trPr>
          <w:trHeight w:val="290"/>
        </w:trPr>
        <w:tc>
          <w:tcPr>
            <w:tcW w:w="3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8B4A83" w14:textId="77777777" w:rsidR="00920A4B" w:rsidRPr="009614C2" w:rsidRDefault="00920A4B" w:rsidP="009614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9614C2">
              <w:rPr>
                <w:sz w:val="24"/>
                <w:szCs w:val="24"/>
              </w:rPr>
              <w:t>Builder Services</w:t>
            </w:r>
          </w:p>
        </w:tc>
      </w:tr>
      <w:tr w:rsidR="00920A4B" w:rsidRPr="009614C2" w14:paraId="45041D2E" w14:textId="77777777" w:rsidTr="00B866E7">
        <w:trPr>
          <w:trHeight w:val="290"/>
        </w:trPr>
        <w:tc>
          <w:tcPr>
            <w:tcW w:w="3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8DABC9" w14:textId="77777777" w:rsidR="00920A4B" w:rsidRPr="009614C2" w:rsidRDefault="00920A4B" w:rsidP="009614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9614C2">
              <w:rPr>
                <w:sz w:val="24"/>
                <w:szCs w:val="24"/>
              </w:rPr>
              <w:t>Campbell Shatley, PLLC</w:t>
            </w:r>
          </w:p>
        </w:tc>
      </w:tr>
      <w:tr w:rsidR="00920A4B" w:rsidRPr="009614C2" w14:paraId="3A5412D9" w14:textId="77777777" w:rsidTr="00B866E7">
        <w:trPr>
          <w:trHeight w:val="290"/>
        </w:trPr>
        <w:tc>
          <w:tcPr>
            <w:tcW w:w="3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E03B69" w14:textId="77777777" w:rsidR="00920A4B" w:rsidRPr="009614C2" w:rsidRDefault="00920A4B" w:rsidP="009614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9614C2">
              <w:rPr>
                <w:sz w:val="24"/>
                <w:szCs w:val="24"/>
              </w:rPr>
              <w:t>Droplet.io</w:t>
            </w:r>
          </w:p>
        </w:tc>
      </w:tr>
      <w:tr w:rsidR="00920A4B" w:rsidRPr="009614C2" w14:paraId="7E610881" w14:textId="77777777" w:rsidTr="00B866E7">
        <w:trPr>
          <w:trHeight w:val="290"/>
        </w:trPr>
        <w:tc>
          <w:tcPr>
            <w:tcW w:w="3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63D14B" w14:textId="77777777" w:rsidR="00920A4B" w:rsidRPr="009614C2" w:rsidRDefault="00920A4B" w:rsidP="009614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9614C2">
              <w:rPr>
                <w:sz w:val="24"/>
                <w:szCs w:val="24"/>
              </w:rPr>
              <w:t>Farm Bureau- Ag in the Classroom</w:t>
            </w:r>
          </w:p>
        </w:tc>
      </w:tr>
      <w:tr w:rsidR="00920A4B" w:rsidRPr="009614C2" w14:paraId="14A967C6" w14:textId="77777777" w:rsidTr="00B866E7">
        <w:trPr>
          <w:trHeight w:val="290"/>
        </w:trPr>
        <w:tc>
          <w:tcPr>
            <w:tcW w:w="3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902A08" w14:textId="77777777" w:rsidR="00920A4B" w:rsidRPr="009614C2" w:rsidRDefault="00920A4B" w:rsidP="009614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9614C2">
              <w:rPr>
                <w:sz w:val="24"/>
                <w:szCs w:val="24"/>
              </w:rPr>
              <w:t>June Atkinson</w:t>
            </w:r>
          </w:p>
        </w:tc>
      </w:tr>
      <w:tr w:rsidR="00920A4B" w:rsidRPr="009614C2" w14:paraId="69486B30" w14:textId="77777777" w:rsidTr="00B866E7">
        <w:trPr>
          <w:trHeight w:val="290"/>
        </w:trPr>
        <w:tc>
          <w:tcPr>
            <w:tcW w:w="3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FEDBF0" w14:textId="77777777" w:rsidR="00920A4B" w:rsidRPr="009614C2" w:rsidRDefault="00920A4B" w:rsidP="009614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9614C2">
              <w:rPr>
                <w:sz w:val="24"/>
                <w:szCs w:val="24"/>
              </w:rPr>
              <w:t>Little Diversified Architectural Consulting</w:t>
            </w:r>
          </w:p>
        </w:tc>
      </w:tr>
      <w:tr w:rsidR="00920A4B" w:rsidRPr="009614C2" w14:paraId="65C1BF14" w14:textId="77777777" w:rsidTr="00B866E7">
        <w:trPr>
          <w:trHeight w:val="290"/>
        </w:trPr>
        <w:tc>
          <w:tcPr>
            <w:tcW w:w="3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450AF3" w14:textId="77777777" w:rsidR="00920A4B" w:rsidRPr="009614C2" w:rsidRDefault="00920A4B" w:rsidP="009614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9614C2">
              <w:rPr>
                <w:sz w:val="24"/>
                <w:szCs w:val="24"/>
              </w:rPr>
              <w:t>McMillan Pazdan Smith Architecture</w:t>
            </w:r>
          </w:p>
        </w:tc>
      </w:tr>
      <w:tr w:rsidR="00920A4B" w:rsidRPr="009614C2" w14:paraId="3B0ADF65" w14:textId="77777777" w:rsidTr="00B866E7">
        <w:trPr>
          <w:trHeight w:val="290"/>
        </w:trPr>
        <w:tc>
          <w:tcPr>
            <w:tcW w:w="3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CC41F3" w14:textId="77777777" w:rsidR="00920A4B" w:rsidRPr="009614C2" w:rsidRDefault="00920A4B" w:rsidP="009614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9614C2">
              <w:rPr>
                <w:sz w:val="24"/>
                <w:szCs w:val="24"/>
              </w:rPr>
              <w:t>NASCAR Hall of Fame</w:t>
            </w:r>
          </w:p>
        </w:tc>
      </w:tr>
      <w:tr w:rsidR="00920A4B" w:rsidRPr="009614C2" w14:paraId="5CA0EFF1" w14:textId="77777777" w:rsidTr="00B866E7">
        <w:trPr>
          <w:trHeight w:val="290"/>
        </w:trPr>
        <w:tc>
          <w:tcPr>
            <w:tcW w:w="3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28F08C" w14:textId="77777777" w:rsidR="00920A4B" w:rsidRPr="009614C2" w:rsidRDefault="00920A4B" w:rsidP="009614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9614C2">
              <w:rPr>
                <w:sz w:val="24"/>
                <w:szCs w:val="24"/>
              </w:rPr>
              <w:t>Novant Health</w:t>
            </w:r>
          </w:p>
        </w:tc>
      </w:tr>
      <w:tr w:rsidR="00920A4B" w:rsidRPr="009614C2" w14:paraId="1F15D0B5" w14:textId="77777777" w:rsidTr="00B866E7">
        <w:trPr>
          <w:trHeight w:val="290"/>
        </w:trPr>
        <w:tc>
          <w:tcPr>
            <w:tcW w:w="3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21DC86" w14:textId="77777777" w:rsidR="00920A4B" w:rsidRPr="009614C2" w:rsidRDefault="00920A4B" w:rsidP="009614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9614C2">
              <w:rPr>
                <w:sz w:val="24"/>
                <w:szCs w:val="24"/>
              </w:rPr>
              <w:t>Paxton Patterson</w:t>
            </w:r>
          </w:p>
        </w:tc>
      </w:tr>
      <w:tr w:rsidR="00920A4B" w:rsidRPr="009614C2" w14:paraId="148420A0" w14:textId="77777777" w:rsidTr="00B866E7">
        <w:trPr>
          <w:trHeight w:val="290"/>
        </w:trPr>
        <w:tc>
          <w:tcPr>
            <w:tcW w:w="3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F462EF" w14:textId="77777777" w:rsidR="00920A4B" w:rsidRPr="009614C2" w:rsidRDefault="00920A4B" w:rsidP="009614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9614C2">
              <w:rPr>
                <w:sz w:val="24"/>
                <w:szCs w:val="24"/>
              </w:rPr>
              <w:t>Pierce Group Benefits</w:t>
            </w:r>
          </w:p>
        </w:tc>
      </w:tr>
      <w:tr w:rsidR="00920A4B" w:rsidRPr="009614C2" w14:paraId="72E902F0" w14:textId="77777777" w:rsidTr="00B866E7">
        <w:trPr>
          <w:trHeight w:val="290"/>
        </w:trPr>
        <w:tc>
          <w:tcPr>
            <w:tcW w:w="3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E45DA3" w14:textId="77777777" w:rsidR="00920A4B" w:rsidRPr="009614C2" w:rsidRDefault="00920A4B" w:rsidP="009614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9614C2">
              <w:rPr>
                <w:sz w:val="24"/>
                <w:szCs w:val="24"/>
              </w:rPr>
              <w:t>Tharrington Smith, LLP</w:t>
            </w:r>
          </w:p>
        </w:tc>
      </w:tr>
      <w:tr w:rsidR="00920A4B" w:rsidRPr="009614C2" w14:paraId="7DFC1B12" w14:textId="77777777" w:rsidTr="00B866E7">
        <w:trPr>
          <w:trHeight w:val="290"/>
        </w:trPr>
        <w:tc>
          <w:tcPr>
            <w:tcW w:w="3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22B163" w14:textId="77777777" w:rsidR="00920A4B" w:rsidRPr="009614C2" w:rsidRDefault="00920A4B" w:rsidP="009614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proofErr w:type="spellStart"/>
            <w:r w:rsidRPr="009614C2">
              <w:rPr>
                <w:sz w:val="24"/>
                <w:szCs w:val="24"/>
              </w:rPr>
              <w:t>Transfr</w:t>
            </w:r>
            <w:proofErr w:type="spellEnd"/>
          </w:p>
        </w:tc>
      </w:tr>
    </w:tbl>
    <w:p w14:paraId="6285EC73" w14:textId="77777777" w:rsidR="0005300B" w:rsidRPr="009614C2" w:rsidRDefault="0005300B" w:rsidP="009614C2">
      <w:pPr>
        <w:spacing w:line="240" w:lineRule="auto"/>
        <w:rPr>
          <w:sz w:val="24"/>
          <w:szCs w:val="24"/>
        </w:rPr>
      </w:pPr>
    </w:p>
    <w:p w14:paraId="1B4ABB24" w14:textId="77777777" w:rsidR="002B0126" w:rsidRPr="009614C2" w:rsidRDefault="002B0126" w:rsidP="002B0126">
      <w:pPr>
        <w:rPr>
          <w:sz w:val="24"/>
          <w:szCs w:val="24"/>
        </w:rPr>
      </w:pPr>
      <w:r w:rsidRPr="009614C2">
        <w:rPr>
          <w:sz w:val="24"/>
          <w:szCs w:val="24"/>
        </w:rPr>
        <w:t>Special Thanks</w:t>
      </w:r>
    </w:p>
    <w:p w14:paraId="1CFA25D4" w14:textId="7ED68EDA" w:rsidR="002B0126" w:rsidRPr="009614C2" w:rsidRDefault="002B0126" w:rsidP="002B0126">
      <w:pPr>
        <w:numPr>
          <w:ilvl w:val="0"/>
          <w:numId w:val="5"/>
        </w:numPr>
        <w:rPr>
          <w:sz w:val="24"/>
          <w:szCs w:val="24"/>
        </w:rPr>
      </w:pPr>
      <w:r w:rsidRPr="009614C2">
        <w:rPr>
          <w:sz w:val="24"/>
          <w:szCs w:val="24"/>
        </w:rPr>
        <w:t xml:space="preserve">The </w:t>
      </w:r>
      <w:r w:rsidR="008670E5" w:rsidRPr="009614C2">
        <w:rPr>
          <w:sz w:val="24"/>
          <w:szCs w:val="24"/>
        </w:rPr>
        <w:t>CTE</w:t>
      </w:r>
      <w:r w:rsidRPr="009614C2">
        <w:rPr>
          <w:sz w:val="24"/>
          <w:szCs w:val="24"/>
        </w:rPr>
        <w:t xml:space="preserve"> Teacher of the Year Steering Committee</w:t>
      </w:r>
    </w:p>
    <w:p w14:paraId="4389F003" w14:textId="77777777" w:rsidR="002B0126" w:rsidRPr="009614C2" w:rsidRDefault="002B0126" w:rsidP="002B0126">
      <w:pPr>
        <w:numPr>
          <w:ilvl w:val="0"/>
          <w:numId w:val="5"/>
        </w:numPr>
        <w:rPr>
          <w:sz w:val="24"/>
          <w:szCs w:val="24"/>
        </w:rPr>
      </w:pPr>
      <w:r w:rsidRPr="009614C2">
        <w:rPr>
          <w:sz w:val="24"/>
          <w:szCs w:val="24"/>
        </w:rPr>
        <w:t>The Development Foundation of NCCAT, Inc. Board of Directors</w:t>
      </w:r>
    </w:p>
    <w:p w14:paraId="1DC96D32" w14:textId="77777777" w:rsidR="002B0126" w:rsidRPr="009614C2" w:rsidRDefault="002B0126" w:rsidP="002B0126">
      <w:pPr>
        <w:numPr>
          <w:ilvl w:val="0"/>
          <w:numId w:val="5"/>
        </w:numPr>
        <w:rPr>
          <w:sz w:val="24"/>
          <w:szCs w:val="24"/>
        </w:rPr>
      </w:pPr>
      <w:r w:rsidRPr="009614C2">
        <w:rPr>
          <w:sz w:val="24"/>
          <w:szCs w:val="24"/>
        </w:rPr>
        <w:t>The NCCAT Board of Trustees</w:t>
      </w:r>
    </w:p>
    <w:p w14:paraId="32386862" w14:textId="77777777" w:rsidR="00E841C0" w:rsidRPr="009614C2" w:rsidRDefault="00E841C0" w:rsidP="00E841C0">
      <w:pPr>
        <w:rPr>
          <w:sz w:val="24"/>
          <w:szCs w:val="24"/>
        </w:rPr>
      </w:pPr>
      <w:r w:rsidRPr="009614C2">
        <w:rPr>
          <w:sz w:val="24"/>
          <w:szCs w:val="24"/>
        </w:rPr>
        <w:t>About NCCAT</w:t>
      </w:r>
    </w:p>
    <w:p w14:paraId="39093A83" w14:textId="34B9D986" w:rsidR="00E841C0" w:rsidRPr="009614C2" w:rsidRDefault="00E841C0" w:rsidP="00E841C0">
      <w:pPr>
        <w:rPr>
          <w:rFonts w:cs="Times New Roman"/>
          <w:sz w:val="24"/>
          <w:szCs w:val="24"/>
        </w:rPr>
      </w:pPr>
      <w:r w:rsidRPr="009614C2">
        <w:rPr>
          <w:sz w:val="24"/>
          <w:szCs w:val="24"/>
        </w:rPr>
        <w:t xml:space="preserve">The North Carolina Center for the Advancement of Teaching (NCCAT) supports teachers and impacts students through </w:t>
      </w:r>
      <w:r w:rsidR="00550477" w:rsidRPr="009614C2">
        <w:rPr>
          <w:sz w:val="24"/>
          <w:szCs w:val="24"/>
        </w:rPr>
        <w:t xml:space="preserve">exemplary </w:t>
      </w:r>
      <w:r w:rsidRPr="009614C2">
        <w:rPr>
          <w:sz w:val="24"/>
          <w:szCs w:val="24"/>
        </w:rPr>
        <w:t xml:space="preserve">professional development programs. By increasing teacher effectiveness, NCCAT strengthens public education across the state. NCCAT equips educators with innovative teaching methods, best practices, and resources to </w:t>
      </w:r>
      <w:r w:rsidR="00550477" w:rsidRPr="009614C2">
        <w:rPr>
          <w:sz w:val="24"/>
          <w:szCs w:val="24"/>
        </w:rPr>
        <w:t>take</w:t>
      </w:r>
      <w:r w:rsidRPr="009614C2">
        <w:rPr>
          <w:sz w:val="24"/>
          <w:szCs w:val="24"/>
        </w:rPr>
        <w:t xml:space="preserve"> back to their classrooms. To learn more about NCCAT’s programs, visit www.nccat.org or call 828-293-5202.</w:t>
      </w:r>
    </w:p>
    <w:p w14:paraId="425E53CF" w14:textId="77777777" w:rsidR="003C521A" w:rsidRPr="009614C2" w:rsidRDefault="003C521A">
      <w:pPr>
        <w:rPr>
          <w:sz w:val="24"/>
          <w:szCs w:val="24"/>
        </w:rPr>
      </w:pPr>
    </w:p>
    <w:sectPr w:rsidR="003C521A" w:rsidRPr="00961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5DBB"/>
    <w:multiLevelType w:val="multilevel"/>
    <w:tmpl w:val="45E0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55411"/>
    <w:multiLevelType w:val="hybridMultilevel"/>
    <w:tmpl w:val="BD84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06738"/>
    <w:multiLevelType w:val="hybridMultilevel"/>
    <w:tmpl w:val="DBA03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D6D9C"/>
    <w:multiLevelType w:val="multilevel"/>
    <w:tmpl w:val="76B0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D2338C"/>
    <w:multiLevelType w:val="multilevel"/>
    <w:tmpl w:val="7BFE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96B3B"/>
    <w:multiLevelType w:val="multilevel"/>
    <w:tmpl w:val="FA48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A1408F"/>
    <w:multiLevelType w:val="multilevel"/>
    <w:tmpl w:val="FD76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EA4E6E"/>
    <w:multiLevelType w:val="multilevel"/>
    <w:tmpl w:val="271A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C69EF"/>
    <w:multiLevelType w:val="hybridMultilevel"/>
    <w:tmpl w:val="DADA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07790">
    <w:abstractNumId w:val="6"/>
  </w:num>
  <w:num w:numId="2" w16cid:durableId="1705980945">
    <w:abstractNumId w:val="3"/>
  </w:num>
  <w:num w:numId="3" w16cid:durableId="633756646">
    <w:abstractNumId w:val="4"/>
  </w:num>
  <w:num w:numId="4" w16cid:durableId="1392577899">
    <w:abstractNumId w:val="7"/>
  </w:num>
  <w:num w:numId="5" w16cid:durableId="246158989">
    <w:abstractNumId w:val="0"/>
  </w:num>
  <w:num w:numId="6" w16cid:durableId="1695881089">
    <w:abstractNumId w:val="5"/>
  </w:num>
  <w:num w:numId="7" w16cid:durableId="425536570">
    <w:abstractNumId w:val="8"/>
  </w:num>
  <w:num w:numId="8" w16cid:durableId="1924414037">
    <w:abstractNumId w:val="2"/>
  </w:num>
  <w:num w:numId="9" w16cid:durableId="92611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26"/>
    <w:rsid w:val="0005300B"/>
    <w:rsid w:val="000A101F"/>
    <w:rsid w:val="000F7B87"/>
    <w:rsid w:val="00137A5E"/>
    <w:rsid w:val="001D2888"/>
    <w:rsid w:val="001D4C56"/>
    <w:rsid w:val="001D5E18"/>
    <w:rsid w:val="002011C7"/>
    <w:rsid w:val="00253C3B"/>
    <w:rsid w:val="002836AE"/>
    <w:rsid w:val="002B0126"/>
    <w:rsid w:val="002B5A29"/>
    <w:rsid w:val="002C0EC4"/>
    <w:rsid w:val="002D4766"/>
    <w:rsid w:val="00330440"/>
    <w:rsid w:val="0033116B"/>
    <w:rsid w:val="0034372A"/>
    <w:rsid w:val="003876A6"/>
    <w:rsid w:val="003A7EC5"/>
    <w:rsid w:val="003C521A"/>
    <w:rsid w:val="00424F50"/>
    <w:rsid w:val="00436D2B"/>
    <w:rsid w:val="00491150"/>
    <w:rsid w:val="004B68AB"/>
    <w:rsid w:val="004D3CDB"/>
    <w:rsid w:val="004F4C6C"/>
    <w:rsid w:val="004F63EE"/>
    <w:rsid w:val="00550477"/>
    <w:rsid w:val="005C3CA2"/>
    <w:rsid w:val="005D15FB"/>
    <w:rsid w:val="005D3559"/>
    <w:rsid w:val="00613EB0"/>
    <w:rsid w:val="00624A86"/>
    <w:rsid w:val="00626404"/>
    <w:rsid w:val="006720EA"/>
    <w:rsid w:val="006B1D8E"/>
    <w:rsid w:val="006C5185"/>
    <w:rsid w:val="00703A30"/>
    <w:rsid w:val="00724501"/>
    <w:rsid w:val="00734421"/>
    <w:rsid w:val="00752B1B"/>
    <w:rsid w:val="00781820"/>
    <w:rsid w:val="007A3CD4"/>
    <w:rsid w:val="008670E5"/>
    <w:rsid w:val="0088404E"/>
    <w:rsid w:val="008B231F"/>
    <w:rsid w:val="008B3114"/>
    <w:rsid w:val="008F0C3D"/>
    <w:rsid w:val="00920A4B"/>
    <w:rsid w:val="00925275"/>
    <w:rsid w:val="009614C2"/>
    <w:rsid w:val="00977125"/>
    <w:rsid w:val="009F056C"/>
    <w:rsid w:val="00AA131C"/>
    <w:rsid w:val="00AB4742"/>
    <w:rsid w:val="00AC6006"/>
    <w:rsid w:val="00AD3DE4"/>
    <w:rsid w:val="00AF6554"/>
    <w:rsid w:val="00B74B0D"/>
    <w:rsid w:val="00C03344"/>
    <w:rsid w:val="00C5436A"/>
    <w:rsid w:val="00C75718"/>
    <w:rsid w:val="00CC4B56"/>
    <w:rsid w:val="00CF4427"/>
    <w:rsid w:val="00D201E6"/>
    <w:rsid w:val="00DB27A9"/>
    <w:rsid w:val="00E02D2B"/>
    <w:rsid w:val="00E2334C"/>
    <w:rsid w:val="00E75855"/>
    <w:rsid w:val="00E841C0"/>
    <w:rsid w:val="00EA70C5"/>
    <w:rsid w:val="00ED678D"/>
    <w:rsid w:val="00EE37F9"/>
    <w:rsid w:val="00EE658C"/>
    <w:rsid w:val="00EF6396"/>
    <w:rsid w:val="00F127A6"/>
    <w:rsid w:val="00F5603F"/>
    <w:rsid w:val="00F85734"/>
    <w:rsid w:val="00FE3560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926F1"/>
  <w15:chartTrackingRefBased/>
  <w15:docId w15:val="{2364A113-C632-4549-AA99-FC43AB15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1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1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1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1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1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01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723</Words>
  <Characters>4393</Characters>
  <Application>Microsoft Office Word</Application>
  <DocSecurity>0</DocSecurity>
  <Lines>117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Sumner</dc:creator>
  <cp:keywords/>
  <dc:description/>
  <cp:lastModifiedBy>Karen Sumner</cp:lastModifiedBy>
  <cp:revision>3</cp:revision>
  <dcterms:created xsi:type="dcterms:W3CDTF">2025-12-07T00:12:00Z</dcterms:created>
  <dcterms:modified xsi:type="dcterms:W3CDTF">2025-12-07T00:31:00Z</dcterms:modified>
</cp:coreProperties>
</file>