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2" w:type="dxa"/>
        <w:tblLook w:val="0000" w:firstRow="0" w:lastRow="0" w:firstColumn="0" w:lastColumn="0" w:noHBand="0" w:noVBand="0"/>
      </w:tblPr>
      <w:tblGrid>
        <w:gridCol w:w="4664"/>
        <w:gridCol w:w="240"/>
        <w:gridCol w:w="4908"/>
      </w:tblGrid>
      <w:tr w:rsidR="00502AA3" w:rsidRPr="00E55503" w:rsidTr="00D15648">
        <w:tc>
          <w:tcPr>
            <w:tcW w:w="4664" w:type="dxa"/>
          </w:tcPr>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STATE OF NORTH CAROLINA</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COUNTY OF WAKE</w:t>
            </w:r>
          </w:p>
        </w:tc>
        <w:tc>
          <w:tcPr>
            <w:tcW w:w="240" w:type="dxa"/>
          </w:tcPr>
          <w:p w:rsidR="00502AA3" w:rsidRPr="00E55503" w:rsidRDefault="00502AA3" w:rsidP="00D15648">
            <w:pPr>
              <w:rPr>
                <w:rFonts w:ascii="Times New Roman" w:hAnsi="Times New Roman"/>
                <w:snapToGrid/>
                <w:color w:val="000000"/>
              </w:rPr>
            </w:pPr>
          </w:p>
        </w:tc>
        <w:tc>
          <w:tcPr>
            <w:tcW w:w="4908" w:type="dxa"/>
          </w:tcPr>
          <w:p w:rsidR="00502AA3" w:rsidRPr="00E55503" w:rsidRDefault="00502AA3" w:rsidP="00D15648">
            <w:pPr>
              <w:jc w:val="center"/>
              <w:rPr>
                <w:rFonts w:ascii="Times New Roman" w:hAnsi="Times New Roman"/>
                <w:snapToGrid/>
                <w:color w:val="000000"/>
              </w:rPr>
            </w:pPr>
            <w:r w:rsidRPr="00E55503">
              <w:rPr>
                <w:rFonts w:ascii="Times New Roman" w:hAnsi="Times New Roman"/>
                <w:snapToGrid/>
                <w:color w:val="000000"/>
              </w:rPr>
              <w:t>IN THE GENERAL COURT OF JUSTICE</w:t>
            </w:r>
          </w:p>
          <w:p w:rsidR="00502AA3" w:rsidRPr="00E55503" w:rsidRDefault="00502AA3" w:rsidP="00D15648">
            <w:pPr>
              <w:jc w:val="center"/>
              <w:rPr>
                <w:rFonts w:ascii="Times New Roman" w:hAnsi="Times New Roman"/>
                <w:snapToGrid/>
                <w:color w:val="000000"/>
              </w:rPr>
            </w:pPr>
            <w:r w:rsidRPr="00E55503">
              <w:rPr>
                <w:rFonts w:ascii="Times New Roman" w:hAnsi="Times New Roman"/>
                <w:snapToGrid/>
                <w:color w:val="000000"/>
              </w:rPr>
              <w:t>SUPERIOR COURT DIVISION</w:t>
            </w:r>
          </w:p>
          <w:p w:rsidR="00502AA3" w:rsidRPr="00E55503" w:rsidRDefault="00502AA3" w:rsidP="00D15648">
            <w:pPr>
              <w:jc w:val="center"/>
              <w:rPr>
                <w:rFonts w:ascii="Times New Roman" w:hAnsi="Times New Roman"/>
                <w:snapToGrid/>
                <w:color w:val="000000"/>
              </w:rPr>
            </w:pPr>
            <w:r w:rsidRPr="00E55503">
              <w:rPr>
                <w:rFonts w:ascii="Times New Roman" w:hAnsi="Times New Roman"/>
                <w:snapToGrid/>
                <w:color w:val="000000"/>
              </w:rPr>
              <w:t>95-CVS-1158</w:t>
            </w:r>
          </w:p>
        </w:tc>
      </w:tr>
      <w:tr w:rsidR="00502AA3" w:rsidRPr="00E55503" w:rsidTr="00D15648">
        <w:trPr>
          <w:cantSplit/>
        </w:trPr>
        <w:tc>
          <w:tcPr>
            <w:tcW w:w="4664" w:type="dxa"/>
          </w:tcPr>
          <w:p w:rsidR="00502AA3" w:rsidRPr="00E55503" w:rsidRDefault="00502AA3" w:rsidP="00D15648">
            <w:pPr>
              <w:rPr>
                <w:rFonts w:ascii="Times New Roman" w:hAnsi="Times New Roman"/>
                <w:snapToGrid/>
                <w:color w:val="000000"/>
              </w:rPr>
            </w:pPr>
          </w:p>
        </w:tc>
        <w:tc>
          <w:tcPr>
            <w:tcW w:w="240" w:type="dxa"/>
          </w:tcPr>
          <w:p w:rsidR="00502AA3" w:rsidRPr="00E55503" w:rsidRDefault="00502AA3" w:rsidP="00D15648">
            <w:pPr>
              <w:rPr>
                <w:rFonts w:ascii="Times New Roman" w:hAnsi="Times New Roman"/>
                <w:snapToGrid/>
                <w:color w:val="000000"/>
              </w:rPr>
            </w:pPr>
          </w:p>
        </w:tc>
        <w:tc>
          <w:tcPr>
            <w:tcW w:w="4908" w:type="dxa"/>
            <w:vAlign w:val="center"/>
          </w:tcPr>
          <w:p w:rsidR="00502AA3" w:rsidRPr="00E55503" w:rsidRDefault="00502AA3" w:rsidP="00D15648">
            <w:pPr>
              <w:jc w:val="center"/>
              <w:rPr>
                <w:rFonts w:ascii="Times New Roman" w:hAnsi="Times New Roman"/>
                <w:snapToGrid/>
                <w:color w:val="000000"/>
              </w:rPr>
            </w:pPr>
          </w:p>
        </w:tc>
      </w:tr>
      <w:tr w:rsidR="00502AA3" w:rsidRPr="00E55503" w:rsidTr="00D15648">
        <w:trPr>
          <w:cantSplit/>
        </w:trPr>
        <w:tc>
          <w:tcPr>
            <w:tcW w:w="4664" w:type="dxa"/>
            <w:tcBorders>
              <w:right w:val="single" w:sz="4" w:space="0" w:color="auto"/>
            </w:tcBorders>
          </w:tcPr>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HOKE COUNTY BOARD OF EDUCATION, et al.,</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ab/>
            </w:r>
            <w:r w:rsidRPr="00E55503">
              <w:rPr>
                <w:rFonts w:ascii="Times New Roman" w:hAnsi="Times New Roman"/>
                <w:snapToGrid/>
                <w:color w:val="000000"/>
              </w:rPr>
              <w:tab/>
            </w:r>
            <w:r w:rsidRPr="00E55503">
              <w:rPr>
                <w:rFonts w:ascii="Times New Roman" w:hAnsi="Times New Roman"/>
                <w:snapToGrid/>
                <w:color w:val="000000"/>
              </w:rPr>
              <w:tab/>
              <w:t>Plaintiffs,</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and</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CHARLOTTE-MECKLENBURG BOARD OF EDUCATION, </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Plaintiff-</w:t>
            </w:r>
            <w:proofErr w:type="spellStart"/>
            <w:r w:rsidRPr="00E55503">
              <w:rPr>
                <w:rFonts w:ascii="Times New Roman" w:hAnsi="Times New Roman"/>
                <w:snapToGrid/>
                <w:color w:val="000000"/>
              </w:rPr>
              <w:t>Intervenor</w:t>
            </w:r>
            <w:proofErr w:type="spellEnd"/>
            <w:r w:rsidRPr="00E55503">
              <w:rPr>
                <w:rFonts w:ascii="Times New Roman" w:hAnsi="Times New Roman"/>
                <w:snapToGrid/>
                <w:color w:val="000000"/>
              </w:rPr>
              <w:t>,</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and</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RAFAEL PENN, et al.,</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Plaintiff-</w:t>
            </w:r>
            <w:proofErr w:type="spellStart"/>
            <w:r w:rsidRPr="00E55503">
              <w:rPr>
                <w:rFonts w:ascii="Times New Roman" w:hAnsi="Times New Roman"/>
                <w:snapToGrid/>
                <w:color w:val="000000"/>
              </w:rPr>
              <w:t>Intervenors</w:t>
            </w:r>
            <w:proofErr w:type="spellEnd"/>
            <w:r w:rsidRPr="00E55503">
              <w:rPr>
                <w:rFonts w:ascii="Times New Roman" w:hAnsi="Times New Roman"/>
                <w:snapToGrid/>
                <w:color w:val="000000"/>
              </w:rPr>
              <w:t>,</w:t>
            </w: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ab/>
            </w:r>
            <w:r w:rsidRPr="00E55503">
              <w:rPr>
                <w:rFonts w:ascii="Times New Roman" w:hAnsi="Times New Roman"/>
                <w:snapToGrid/>
                <w:color w:val="000000"/>
              </w:rPr>
              <w:tab/>
            </w:r>
            <w:r w:rsidRPr="00E55503">
              <w:rPr>
                <w:rFonts w:ascii="Times New Roman" w:hAnsi="Times New Roman"/>
                <w:snapToGrid/>
                <w:color w:val="000000"/>
              </w:rPr>
              <w:tab/>
            </w:r>
            <w:r w:rsidRPr="00E55503">
              <w:rPr>
                <w:rFonts w:ascii="Times New Roman" w:hAnsi="Times New Roman"/>
                <w:snapToGrid/>
                <w:color w:val="000000"/>
              </w:rPr>
              <w:tab/>
            </w:r>
            <w:r w:rsidRPr="00E55503">
              <w:rPr>
                <w:rFonts w:ascii="Times New Roman" w:hAnsi="Times New Roman"/>
                <w:snapToGrid/>
                <w:color w:val="000000"/>
              </w:rPr>
              <w:tab/>
            </w:r>
            <w:r w:rsidRPr="00E55503">
              <w:rPr>
                <w:rFonts w:ascii="Times New Roman" w:hAnsi="Times New Roman"/>
                <w:snapToGrid/>
                <w:color w:val="000000"/>
              </w:rPr>
              <w:tab/>
            </w:r>
          </w:p>
        </w:tc>
        <w:tc>
          <w:tcPr>
            <w:tcW w:w="240" w:type="dxa"/>
            <w:vMerge w:val="restart"/>
            <w:tcBorders>
              <w:left w:val="single" w:sz="4" w:space="0" w:color="auto"/>
            </w:tcBorders>
          </w:tcPr>
          <w:p w:rsidR="00502AA3" w:rsidRPr="00E55503" w:rsidRDefault="00502AA3" w:rsidP="00D15648">
            <w:pPr>
              <w:rPr>
                <w:rFonts w:ascii="Times New Roman" w:hAnsi="Times New Roman"/>
                <w:snapToGrid/>
                <w:color w:val="000000"/>
              </w:rPr>
            </w:pPr>
          </w:p>
        </w:tc>
        <w:tc>
          <w:tcPr>
            <w:tcW w:w="4908" w:type="dxa"/>
            <w:vMerge w:val="restart"/>
            <w:vAlign w:val="center"/>
          </w:tcPr>
          <w:p w:rsidR="00502AA3" w:rsidRPr="00E55503" w:rsidRDefault="00502AA3" w:rsidP="00D15648">
            <w:pPr>
              <w:spacing w:before="360"/>
              <w:contextualSpacing/>
              <w:jc w:val="center"/>
              <w:rPr>
                <w:rFonts w:ascii="Times New Roman" w:hAnsi="Times New Roman"/>
                <w:b/>
                <w:bCs/>
                <w:caps/>
                <w:snapToGrid/>
              </w:rPr>
            </w:pPr>
            <w:r w:rsidRPr="00E55503">
              <w:rPr>
                <w:rFonts w:ascii="Times New Roman" w:hAnsi="Times New Roman"/>
                <w:b/>
                <w:bCs/>
                <w:caps/>
                <w:snapToGrid/>
              </w:rPr>
              <w:t xml:space="preserve"> </w:t>
            </w:r>
          </w:p>
          <w:p w:rsidR="00502AA3" w:rsidRPr="00E55503" w:rsidRDefault="00502AA3" w:rsidP="00D15648">
            <w:pPr>
              <w:jc w:val="center"/>
              <w:rPr>
                <w:rFonts w:ascii="Times New Roman" w:hAnsi="Times New Roman"/>
                <w:bCs/>
                <w:snapToGrid/>
                <w:color w:val="000000"/>
              </w:rPr>
            </w:pPr>
            <w:r w:rsidRPr="00E55503">
              <w:rPr>
                <w:rFonts w:ascii="Times New Roman" w:hAnsi="Times New Roman"/>
                <w:bCs/>
                <w:snapToGrid/>
                <w:color w:val="000000"/>
              </w:rPr>
              <w:t>[proposed]</w:t>
            </w:r>
          </w:p>
          <w:p w:rsidR="00502AA3" w:rsidRPr="00E55503" w:rsidRDefault="00502AA3" w:rsidP="00D15648">
            <w:pPr>
              <w:jc w:val="center"/>
              <w:rPr>
                <w:rFonts w:ascii="Times New Roman" w:hAnsi="Times New Roman"/>
                <w:bCs/>
                <w:snapToGrid/>
                <w:color w:val="000000"/>
              </w:rPr>
            </w:pPr>
            <w:r w:rsidRPr="00E55503">
              <w:rPr>
                <w:rFonts w:ascii="Times New Roman" w:hAnsi="Times New Roman"/>
                <w:b/>
                <w:bCs/>
                <w:snapToGrid/>
                <w:color w:val="000000"/>
              </w:rPr>
              <w:t>ORDER</w:t>
            </w:r>
          </w:p>
        </w:tc>
      </w:tr>
      <w:tr w:rsidR="00502AA3" w:rsidRPr="00E55503" w:rsidTr="00D15648">
        <w:trPr>
          <w:cantSplit/>
        </w:trPr>
        <w:tc>
          <w:tcPr>
            <w:tcW w:w="4664" w:type="dxa"/>
            <w:tcBorders>
              <w:right w:val="single" w:sz="4" w:space="0" w:color="auto"/>
            </w:tcBorders>
          </w:tcPr>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v.</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STATE OF NORTH CAROLINA and the STATE BOARD OF EDUCATION,</w:t>
            </w:r>
          </w:p>
        </w:tc>
        <w:tc>
          <w:tcPr>
            <w:tcW w:w="240" w:type="dxa"/>
            <w:vMerge/>
            <w:tcBorders>
              <w:left w:val="single" w:sz="4" w:space="0" w:color="auto"/>
            </w:tcBorders>
          </w:tcPr>
          <w:p w:rsidR="00502AA3" w:rsidRPr="00E55503" w:rsidRDefault="00502AA3" w:rsidP="00D15648">
            <w:pPr>
              <w:rPr>
                <w:rFonts w:ascii="Times New Roman" w:hAnsi="Times New Roman"/>
                <w:snapToGrid/>
                <w:color w:val="000000"/>
              </w:rPr>
            </w:pPr>
          </w:p>
        </w:tc>
        <w:tc>
          <w:tcPr>
            <w:tcW w:w="4908" w:type="dxa"/>
            <w:vMerge/>
          </w:tcPr>
          <w:p w:rsidR="00502AA3" w:rsidRPr="00E55503" w:rsidRDefault="00502AA3" w:rsidP="00D15648">
            <w:pPr>
              <w:rPr>
                <w:rFonts w:ascii="Times New Roman" w:hAnsi="Times New Roman"/>
                <w:snapToGrid/>
                <w:color w:val="000000"/>
              </w:rPr>
            </w:pPr>
          </w:p>
        </w:tc>
      </w:tr>
      <w:tr w:rsidR="00502AA3" w:rsidRPr="00E55503" w:rsidTr="00D15648">
        <w:trPr>
          <w:cantSplit/>
        </w:trPr>
        <w:tc>
          <w:tcPr>
            <w:tcW w:w="4664" w:type="dxa"/>
            <w:tcBorders>
              <w:right w:val="single" w:sz="4" w:space="0" w:color="auto"/>
            </w:tcBorders>
          </w:tcPr>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ab/>
            </w:r>
            <w:r w:rsidRPr="00E55503">
              <w:rPr>
                <w:rFonts w:ascii="Times New Roman" w:hAnsi="Times New Roman"/>
                <w:snapToGrid/>
                <w:color w:val="000000"/>
              </w:rPr>
              <w:tab/>
            </w:r>
            <w:r w:rsidRPr="00E55503">
              <w:rPr>
                <w:rFonts w:ascii="Times New Roman" w:hAnsi="Times New Roman"/>
                <w:snapToGrid/>
                <w:color w:val="000000"/>
              </w:rPr>
              <w:tab/>
              <w:t>Defendants,</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and</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CHARLOTTE-MECKLENBURG BOARD OF EDUCATION, </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Realigned Defendant,</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and</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PHILIP E. BERGER, in his official capacity as President Pro Tempore of the North Carolina Senate, and TIMOTHY K. MOORE, in his official capacity as Speaker of the North Carolina House of Representatives,</w:t>
            </w:r>
          </w:p>
          <w:p w:rsidR="00502AA3" w:rsidRPr="00E55503" w:rsidRDefault="00502AA3" w:rsidP="00D15648">
            <w:pPr>
              <w:rPr>
                <w:rFonts w:ascii="Times New Roman" w:hAnsi="Times New Roman"/>
                <w:snapToGrid/>
                <w:color w:val="000000"/>
              </w:rPr>
            </w:pPr>
          </w:p>
          <w:p w:rsidR="00502AA3" w:rsidRPr="00E55503" w:rsidRDefault="00502AA3" w:rsidP="00D15648">
            <w:pPr>
              <w:rPr>
                <w:rFonts w:ascii="Times New Roman" w:hAnsi="Times New Roman"/>
                <w:snapToGrid/>
                <w:color w:val="000000"/>
              </w:rPr>
            </w:pPr>
            <w:r w:rsidRPr="00E55503">
              <w:rPr>
                <w:rFonts w:ascii="Times New Roman" w:hAnsi="Times New Roman"/>
                <w:snapToGrid/>
                <w:color w:val="000000"/>
              </w:rPr>
              <w:t xml:space="preserve">                                    </w:t>
            </w:r>
            <w:proofErr w:type="spellStart"/>
            <w:r w:rsidRPr="00E55503">
              <w:rPr>
                <w:rFonts w:ascii="Times New Roman" w:hAnsi="Times New Roman"/>
                <w:snapToGrid/>
                <w:color w:val="000000"/>
              </w:rPr>
              <w:t>Intervenor</w:t>
            </w:r>
            <w:proofErr w:type="spellEnd"/>
            <w:r w:rsidRPr="00E55503">
              <w:rPr>
                <w:rFonts w:ascii="Times New Roman" w:hAnsi="Times New Roman"/>
                <w:snapToGrid/>
                <w:color w:val="000000"/>
              </w:rPr>
              <w:t>-Defendants.</w:t>
            </w:r>
          </w:p>
        </w:tc>
        <w:tc>
          <w:tcPr>
            <w:tcW w:w="240" w:type="dxa"/>
            <w:vMerge/>
            <w:tcBorders>
              <w:left w:val="single" w:sz="4" w:space="0" w:color="auto"/>
            </w:tcBorders>
          </w:tcPr>
          <w:p w:rsidR="00502AA3" w:rsidRPr="00E55503" w:rsidRDefault="00502AA3" w:rsidP="00D15648">
            <w:pPr>
              <w:rPr>
                <w:rFonts w:ascii="Times New Roman" w:hAnsi="Times New Roman"/>
                <w:snapToGrid/>
                <w:color w:val="000000"/>
              </w:rPr>
            </w:pPr>
          </w:p>
        </w:tc>
        <w:tc>
          <w:tcPr>
            <w:tcW w:w="4908" w:type="dxa"/>
            <w:vMerge/>
          </w:tcPr>
          <w:p w:rsidR="00502AA3" w:rsidRPr="00E55503" w:rsidRDefault="00502AA3" w:rsidP="00D15648">
            <w:pPr>
              <w:rPr>
                <w:rFonts w:ascii="Times New Roman" w:hAnsi="Times New Roman"/>
                <w:snapToGrid/>
                <w:color w:val="000000"/>
              </w:rPr>
            </w:pPr>
          </w:p>
        </w:tc>
      </w:tr>
      <w:tr w:rsidR="00502AA3" w:rsidRPr="00E55503" w:rsidTr="00D15648">
        <w:tc>
          <w:tcPr>
            <w:tcW w:w="4664" w:type="dxa"/>
            <w:tcBorders>
              <w:bottom w:val="single" w:sz="4" w:space="0" w:color="auto"/>
              <w:right w:val="single" w:sz="4" w:space="0" w:color="auto"/>
            </w:tcBorders>
          </w:tcPr>
          <w:p w:rsidR="00502AA3" w:rsidRPr="00E55503" w:rsidRDefault="00502AA3" w:rsidP="00D15648">
            <w:pPr>
              <w:rPr>
                <w:rFonts w:ascii="Times New Roman" w:hAnsi="Times New Roman"/>
                <w:snapToGrid/>
                <w:color w:val="000000"/>
              </w:rPr>
            </w:pPr>
          </w:p>
        </w:tc>
        <w:tc>
          <w:tcPr>
            <w:tcW w:w="240" w:type="dxa"/>
            <w:vMerge/>
            <w:tcBorders>
              <w:left w:val="single" w:sz="4" w:space="0" w:color="auto"/>
            </w:tcBorders>
          </w:tcPr>
          <w:p w:rsidR="00502AA3" w:rsidRPr="00E55503" w:rsidRDefault="00502AA3" w:rsidP="00D15648">
            <w:pPr>
              <w:rPr>
                <w:rFonts w:ascii="Times New Roman" w:hAnsi="Times New Roman"/>
                <w:snapToGrid/>
                <w:color w:val="000000"/>
              </w:rPr>
            </w:pPr>
          </w:p>
        </w:tc>
        <w:tc>
          <w:tcPr>
            <w:tcW w:w="4908" w:type="dxa"/>
          </w:tcPr>
          <w:p w:rsidR="00502AA3" w:rsidRPr="00E55503" w:rsidRDefault="00502AA3" w:rsidP="00D15648">
            <w:pPr>
              <w:rPr>
                <w:rFonts w:ascii="Times New Roman" w:hAnsi="Times New Roman"/>
                <w:snapToGrid/>
                <w:color w:val="000000"/>
              </w:rPr>
            </w:pPr>
          </w:p>
        </w:tc>
      </w:tr>
    </w:tbl>
    <w:p w:rsidR="00F3674D" w:rsidRPr="00B2757A" w:rsidRDefault="00502AA3" w:rsidP="00502AA3">
      <w:pPr>
        <w:spacing w:line="480" w:lineRule="auto"/>
        <w:jc w:val="both"/>
        <w:rPr>
          <w:rFonts w:ascii="Times New Roman" w:hAnsi="Times New Roman"/>
        </w:rPr>
      </w:pPr>
      <w:r w:rsidRPr="00E55503">
        <w:lastRenderedPageBreak/>
        <w:tab/>
      </w:r>
      <w:r w:rsidRPr="00B2757A">
        <w:rPr>
          <w:rFonts w:ascii="Times New Roman" w:hAnsi="Times New Roman"/>
        </w:rPr>
        <w:t>THIS MATTER IS BEFORE THE COURT upon remand from the Supreme Court of North Carolina.  This Court has been instructed to “determine what</w:t>
      </w:r>
      <w:r w:rsidR="004608BB" w:rsidRPr="00B2757A">
        <w:rPr>
          <w:rFonts w:ascii="Times New Roman" w:hAnsi="Times New Roman"/>
        </w:rPr>
        <w:t xml:space="preserve"> effect</w:t>
      </w:r>
      <w:r w:rsidRPr="00B2757A">
        <w:rPr>
          <w:rFonts w:ascii="Times New Roman" w:hAnsi="Times New Roman"/>
        </w:rPr>
        <w:t>, if any</w:t>
      </w:r>
      <w:r w:rsidR="004608BB" w:rsidRPr="00B2757A">
        <w:rPr>
          <w:rFonts w:ascii="Times New Roman" w:hAnsi="Times New Roman"/>
        </w:rPr>
        <w:t>, the enactment of the State Budget has upon the nature and extent of the relief that the trial court granted in its 11 November 2021 order.”</w:t>
      </w:r>
      <w:r w:rsidR="004608BB" w:rsidRPr="00B2757A">
        <w:rPr>
          <w:rStyle w:val="FootnoteReference"/>
          <w:rFonts w:ascii="Times New Roman" w:hAnsi="Times New Roman"/>
        </w:rPr>
        <w:footnoteReference w:id="1"/>
      </w:r>
      <w:r w:rsidRPr="00B2757A">
        <w:rPr>
          <w:rFonts w:ascii="Times New Roman" w:hAnsi="Times New Roman"/>
        </w:rPr>
        <w:t xml:space="preserve"> </w:t>
      </w:r>
      <w:r w:rsidR="00AA0E97" w:rsidRPr="00B2757A">
        <w:rPr>
          <w:rFonts w:ascii="Times New Roman" w:hAnsi="Times New Roman"/>
        </w:rPr>
        <w:t>(ECF No. 1</w:t>
      </w:r>
      <w:r w:rsidR="00FB0A14" w:rsidRPr="00B2757A">
        <w:rPr>
          <w:rFonts w:ascii="Times New Roman" w:hAnsi="Times New Roman"/>
        </w:rPr>
        <w:t>.</w:t>
      </w:r>
      <w:r w:rsidR="00AA0E97" w:rsidRPr="00B2757A">
        <w:rPr>
          <w:rFonts w:ascii="Times New Roman" w:hAnsi="Times New Roman"/>
        </w:rPr>
        <w:t xml:space="preserve">)  </w:t>
      </w:r>
      <w:r w:rsidRPr="00B2757A">
        <w:rPr>
          <w:rFonts w:ascii="Times New Roman" w:hAnsi="Times New Roman"/>
        </w:rPr>
        <w:t xml:space="preserve">The Supreme Court further instructed this Court to make any necessary findings of fact and conclusions of law and enter an amended order.   This Order, therefore, </w:t>
      </w:r>
      <w:r w:rsidRPr="00B2757A">
        <w:rPr>
          <w:rFonts w:ascii="Times New Roman" w:hAnsi="Times New Roman"/>
          <w:b/>
        </w:rPr>
        <w:t>AMENDS</w:t>
      </w:r>
      <w:r w:rsidRPr="00B2757A">
        <w:rPr>
          <w:rFonts w:ascii="Times New Roman" w:hAnsi="Times New Roman"/>
        </w:rPr>
        <w:t xml:space="preserve"> </w:t>
      </w:r>
      <w:r w:rsidRPr="00B2757A">
        <w:rPr>
          <w:rFonts w:ascii="Times New Roman" w:hAnsi="Times New Roman"/>
          <w:b/>
        </w:rPr>
        <w:t xml:space="preserve">AND SUPERSEDES </w:t>
      </w:r>
      <w:r w:rsidRPr="00B2757A">
        <w:rPr>
          <w:rFonts w:ascii="Times New Roman" w:hAnsi="Times New Roman"/>
        </w:rPr>
        <w:t>the previous Order dated 10 November 2021, from this Court.</w:t>
      </w:r>
    </w:p>
    <w:p w:rsidR="00607B92" w:rsidRPr="00B2757A" w:rsidRDefault="00607B92" w:rsidP="00607B92">
      <w:pPr>
        <w:pStyle w:val="ListParagraph"/>
        <w:numPr>
          <w:ilvl w:val="0"/>
          <w:numId w:val="8"/>
        </w:numPr>
        <w:spacing w:line="480" w:lineRule="auto"/>
        <w:ind w:left="720"/>
        <w:jc w:val="both"/>
        <w:rPr>
          <w:rFonts w:ascii="Times New Roman" w:eastAsia="Calibri" w:hAnsi="Times New Roman"/>
          <w:b/>
          <w:snapToGrid/>
        </w:rPr>
      </w:pPr>
      <w:r w:rsidRPr="00B2757A">
        <w:rPr>
          <w:rFonts w:ascii="Times New Roman" w:eastAsia="Calibri" w:hAnsi="Times New Roman"/>
          <w:b/>
          <w:snapToGrid/>
        </w:rPr>
        <w:t>PROCEDURAL HISTORY</w:t>
      </w:r>
    </w:p>
    <w:p w:rsidR="00D30EA7" w:rsidRPr="00B2757A" w:rsidRDefault="00502AA3" w:rsidP="00D30EA7">
      <w:pPr>
        <w:spacing w:line="480" w:lineRule="auto"/>
        <w:ind w:firstLine="720"/>
        <w:jc w:val="both"/>
        <w:rPr>
          <w:rFonts w:ascii="Times New Roman" w:hAnsi="Times New Roman"/>
        </w:rPr>
      </w:pPr>
      <w:r w:rsidRPr="00B2757A">
        <w:rPr>
          <w:rFonts w:ascii="Times New Roman" w:hAnsi="Times New Roman"/>
        </w:rPr>
        <w:t xml:space="preserve">This case has a long history.  For now, the Court focuses only on the relevant background and the procedural history that led to this Order.  </w:t>
      </w:r>
    </w:p>
    <w:p w:rsidR="00D30EA7" w:rsidRPr="00B2757A" w:rsidRDefault="00AA0E97" w:rsidP="00D30EA7">
      <w:pPr>
        <w:spacing w:line="480" w:lineRule="auto"/>
        <w:ind w:firstLine="720"/>
        <w:jc w:val="both"/>
        <w:rPr>
          <w:rFonts w:ascii="Times New Roman" w:hAnsi="Times New Roman"/>
        </w:rPr>
      </w:pPr>
      <w:r w:rsidRPr="00B2757A">
        <w:rPr>
          <w:rFonts w:ascii="Times New Roman" w:hAnsi="Times New Roman"/>
        </w:rPr>
        <w:t>On 10 November 2021, the Honorable W. David Lee</w:t>
      </w:r>
      <w:r w:rsidR="00502AA3" w:rsidRPr="00B2757A">
        <w:rPr>
          <w:rFonts w:ascii="Times New Roman" w:hAnsi="Times New Roman"/>
        </w:rPr>
        <w:t xml:space="preserve"> </w:t>
      </w:r>
      <w:r w:rsidRPr="00B2757A">
        <w:rPr>
          <w:rFonts w:ascii="Times New Roman" w:hAnsi="Times New Roman"/>
        </w:rPr>
        <w:t>ordered</w:t>
      </w:r>
      <w:r w:rsidR="00502AA3" w:rsidRPr="00B2757A">
        <w:rPr>
          <w:rFonts w:ascii="Times New Roman" w:hAnsi="Times New Roman"/>
        </w:rPr>
        <w:t xml:space="preserve"> what the Court referred to as a “constitutional appropriation” of </w:t>
      </w:r>
      <w:r w:rsidRPr="00B2757A">
        <w:rPr>
          <w:rFonts w:ascii="Times New Roman" w:hAnsi="Times New Roman"/>
        </w:rPr>
        <w:t>moneys</w:t>
      </w:r>
      <w:r w:rsidR="00502AA3" w:rsidRPr="00B2757A">
        <w:rPr>
          <w:rFonts w:ascii="Times New Roman" w:hAnsi="Times New Roman"/>
        </w:rPr>
        <w:t xml:space="preserve"> from the </w:t>
      </w:r>
      <w:r w:rsidR="00FB0A14" w:rsidRPr="00B2757A">
        <w:rPr>
          <w:rFonts w:ascii="Times New Roman" w:hAnsi="Times New Roman"/>
        </w:rPr>
        <w:t xml:space="preserve">“unappropriated balance within the </w:t>
      </w:r>
      <w:r w:rsidR="00502AA3" w:rsidRPr="00B2757A">
        <w:rPr>
          <w:rFonts w:ascii="Times New Roman" w:hAnsi="Times New Roman"/>
        </w:rPr>
        <w:t>General Fund</w:t>
      </w:r>
      <w:r w:rsidR="00FB0A14" w:rsidRPr="00B2757A">
        <w:rPr>
          <w:rFonts w:ascii="Times New Roman" w:hAnsi="Times New Roman"/>
        </w:rPr>
        <w:t>”</w:t>
      </w:r>
      <w:r w:rsidR="00502AA3" w:rsidRPr="00B2757A">
        <w:rPr>
          <w:rFonts w:ascii="Times New Roman" w:hAnsi="Times New Roman"/>
        </w:rPr>
        <w:t xml:space="preserve"> as a remedy for previous findings that certain students in the state were receiving less than a sound basic education.  </w:t>
      </w:r>
      <w:r w:rsidR="00502AA3" w:rsidRPr="00B2757A">
        <w:rPr>
          <w:rFonts w:ascii="Times New Roman" w:hAnsi="Times New Roman"/>
          <w:i/>
        </w:rPr>
        <w:t>Hoke County v. North Carolina</w:t>
      </w:r>
      <w:r w:rsidR="00502AA3" w:rsidRPr="00B2757A">
        <w:rPr>
          <w:rFonts w:ascii="Times New Roman" w:hAnsi="Times New Roman"/>
        </w:rPr>
        <w:t>, No. 95-CVS-1158 (Wake Co. 10 Nov. 2021) (“</w:t>
      </w:r>
      <w:r w:rsidR="007F0A9F" w:rsidRPr="00B2757A">
        <w:rPr>
          <w:rFonts w:ascii="Times New Roman" w:hAnsi="Times New Roman"/>
        </w:rPr>
        <w:t xml:space="preserve">10 </w:t>
      </w:r>
      <w:r w:rsidR="00502AA3" w:rsidRPr="00B2757A">
        <w:rPr>
          <w:rFonts w:ascii="Times New Roman" w:hAnsi="Times New Roman"/>
        </w:rPr>
        <w:t>November Order”)</w:t>
      </w:r>
      <w:r w:rsidR="00FB0A14" w:rsidRPr="00B2757A">
        <w:rPr>
          <w:rFonts w:ascii="Times New Roman" w:hAnsi="Times New Roman"/>
        </w:rPr>
        <w:t>.</w:t>
      </w:r>
    </w:p>
    <w:p w:rsidR="00D30EA7" w:rsidRPr="00B2757A" w:rsidRDefault="007F0A9F" w:rsidP="00D30EA7">
      <w:pPr>
        <w:spacing w:line="480" w:lineRule="auto"/>
        <w:ind w:firstLine="720"/>
        <w:jc w:val="both"/>
        <w:rPr>
          <w:rFonts w:ascii="Times New Roman" w:hAnsi="Times New Roman"/>
        </w:rPr>
      </w:pPr>
      <w:r w:rsidRPr="00B2757A">
        <w:rPr>
          <w:rFonts w:ascii="Times New Roman" w:hAnsi="Times New Roman"/>
        </w:rPr>
        <w:t>These sums</w:t>
      </w:r>
      <w:r w:rsidR="00502AA3" w:rsidRPr="00B2757A">
        <w:rPr>
          <w:rFonts w:ascii="Times New Roman" w:hAnsi="Times New Roman"/>
        </w:rPr>
        <w:t xml:space="preserve"> were intended to finance a Comprehensive Remedial </w:t>
      </w:r>
      <w:r w:rsidR="00910F48" w:rsidRPr="00B2757A">
        <w:rPr>
          <w:rFonts w:ascii="Times New Roman" w:hAnsi="Times New Roman"/>
        </w:rPr>
        <w:t>Plan</w:t>
      </w:r>
      <w:r w:rsidR="00502AA3" w:rsidRPr="00B2757A">
        <w:rPr>
          <w:rFonts w:ascii="Times New Roman" w:hAnsi="Times New Roman"/>
        </w:rPr>
        <w:t xml:space="preserve"> meant to remedy the constitutional violation.  </w:t>
      </w:r>
      <w:r w:rsidR="00FB0A14" w:rsidRPr="00B2757A">
        <w:rPr>
          <w:rFonts w:ascii="Times New Roman" w:eastAsia="Calibri" w:hAnsi="Times New Roman"/>
          <w:i/>
          <w:snapToGrid/>
        </w:rPr>
        <w:t>Id.</w:t>
      </w:r>
      <w:r w:rsidR="00502AA3" w:rsidRPr="00B2757A">
        <w:rPr>
          <w:rFonts w:ascii="Times New Roman" w:eastAsia="Calibri" w:hAnsi="Times New Roman"/>
          <w:snapToGrid/>
        </w:rPr>
        <w:t xml:space="preserve">  By its own terms, that Order was stayed thirty (30) days “to permit the other branches of government to take further action consistent with the findings and conclusions of this Order.”  (</w:t>
      </w:r>
      <w:r w:rsidR="00502AA3" w:rsidRPr="00B2757A">
        <w:rPr>
          <w:rFonts w:ascii="Times New Roman" w:eastAsia="Calibri" w:hAnsi="Times New Roman"/>
          <w:i/>
          <w:snapToGrid/>
        </w:rPr>
        <w:t>Id.</w:t>
      </w:r>
      <w:r w:rsidR="006E692D">
        <w:rPr>
          <w:rFonts w:ascii="Times New Roman" w:eastAsia="Calibri" w:hAnsi="Times New Roman"/>
          <w:snapToGrid/>
        </w:rPr>
        <w:t xml:space="preserve"> at 20.)</w:t>
      </w:r>
      <w:r w:rsidR="00502AA3" w:rsidRPr="00B2757A">
        <w:rPr>
          <w:rFonts w:ascii="Times New Roman" w:eastAsia="Calibri" w:hAnsi="Times New Roman"/>
          <w:snapToGrid/>
        </w:rPr>
        <w:t xml:space="preserve"> </w:t>
      </w:r>
      <w:r w:rsidR="00502AA3" w:rsidRPr="00B2757A">
        <w:rPr>
          <w:rFonts w:ascii="Times New Roman" w:hAnsi="Times New Roman"/>
        </w:rPr>
        <w:t xml:space="preserve">  </w:t>
      </w:r>
    </w:p>
    <w:p w:rsidR="00D30EA7" w:rsidRPr="00B2757A" w:rsidRDefault="00502AA3" w:rsidP="00D30EA7">
      <w:pPr>
        <w:spacing w:line="480" w:lineRule="auto"/>
        <w:ind w:firstLine="720"/>
        <w:jc w:val="both"/>
        <w:rPr>
          <w:rFonts w:ascii="Times New Roman" w:hAnsi="Times New Roman"/>
        </w:rPr>
      </w:pPr>
      <w:r w:rsidRPr="00B2757A">
        <w:rPr>
          <w:rFonts w:ascii="Times New Roman" w:hAnsi="Times New Roman"/>
        </w:rPr>
        <w:t xml:space="preserve">During the stay, on 18 November 2021, the General Assembly passed, and the Governor signed, </w:t>
      </w:r>
      <w:r w:rsidR="007E1DFF" w:rsidRPr="00B2757A">
        <w:rPr>
          <w:rFonts w:ascii="Times New Roman" w:hAnsi="Times New Roman"/>
        </w:rPr>
        <w:t>the Current Operations and Appropriations Act of 2021, 2021 N.C. Sess. L. 180 (the</w:t>
      </w:r>
      <w:r w:rsidRPr="00B2757A">
        <w:rPr>
          <w:rFonts w:ascii="Times New Roman" w:hAnsi="Times New Roman"/>
        </w:rPr>
        <w:t xml:space="preserve"> </w:t>
      </w:r>
      <w:r w:rsidR="007E1DFF" w:rsidRPr="00B2757A">
        <w:rPr>
          <w:rFonts w:ascii="Times New Roman" w:hAnsi="Times New Roman"/>
        </w:rPr>
        <w:lastRenderedPageBreak/>
        <w:t>“</w:t>
      </w:r>
      <w:r w:rsidRPr="00B2757A">
        <w:rPr>
          <w:rFonts w:ascii="Times New Roman" w:hAnsi="Times New Roman"/>
        </w:rPr>
        <w:t>Budget Act</w:t>
      </w:r>
      <w:r w:rsidR="007E1DFF" w:rsidRPr="00B2757A">
        <w:rPr>
          <w:rFonts w:ascii="Times New Roman" w:hAnsi="Times New Roman"/>
        </w:rPr>
        <w:t>”)</w:t>
      </w:r>
      <w:r w:rsidR="007F0A9F" w:rsidRPr="00B2757A">
        <w:rPr>
          <w:rFonts w:ascii="Times New Roman" w:hAnsi="Times New Roman"/>
        </w:rPr>
        <w:t xml:space="preserve">, which is subject to two Technical Corrections bills, 2021 N.C. Sess. L. 189 and 2022 N.C. Sess. L. 6. </w:t>
      </w:r>
      <w:r w:rsidRPr="00B2757A">
        <w:rPr>
          <w:rFonts w:ascii="Times New Roman" w:hAnsi="Times New Roman"/>
        </w:rPr>
        <w:t xml:space="preserve"> </w:t>
      </w:r>
    </w:p>
    <w:p w:rsidR="00D30EA7" w:rsidRPr="00B2757A" w:rsidRDefault="00502AA3" w:rsidP="00D30EA7">
      <w:pPr>
        <w:spacing w:line="480" w:lineRule="auto"/>
        <w:ind w:firstLine="720"/>
        <w:jc w:val="both"/>
        <w:rPr>
          <w:rFonts w:ascii="Times New Roman" w:hAnsi="Times New Roman"/>
        </w:rPr>
      </w:pPr>
      <w:r w:rsidRPr="00B2757A">
        <w:rPr>
          <w:rFonts w:ascii="Times New Roman" w:eastAsia="Calibri" w:hAnsi="Times New Roman"/>
          <w:snapToGrid/>
        </w:rPr>
        <w:t xml:space="preserve">In light of the passage of the Budget Act, on 30 November 2021, </w:t>
      </w:r>
      <w:r w:rsidR="007F0A9F" w:rsidRPr="00B2757A">
        <w:rPr>
          <w:rFonts w:ascii="Times New Roman" w:eastAsia="Calibri" w:hAnsi="Times New Roman"/>
          <w:snapToGrid/>
        </w:rPr>
        <w:t>the</w:t>
      </w:r>
      <w:r w:rsidR="00910F48" w:rsidRPr="00B2757A">
        <w:rPr>
          <w:rFonts w:ascii="Times New Roman" w:eastAsia="Calibri" w:hAnsi="Times New Roman"/>
          <w:snapToGrid/>
        </w:rPr>
        <w:t xml:space="preserve"> Court</w:t>
      </w:r>
      <w:r w:rsidRPr="00B2757A">
        <w:rPr>
          <w:rFonts w:ascii="Times New Roman" w:eastAsia="Calibri" w:hAnsi="Times New Roman"/>
          <w:snapToGrid/>
        </w:rPr>
        <w:t xml:space="preserve"> issued,</w:t>
      </w:r>
      <w:r w:rsidRPr="00B2757A">
        <w:rPr>
          <w:rFonts w:ascii="Times New Roman" w:eastAsia="Calibri" w:hAnsi="Times New Roman"/>
          <w:i/>
          <w:snapToGrid/>
        </w:rPr>
        <w:t xml:space="preserve"> </w:t>
      </w:r>
      <w:proofErr w:type="spellStart"/>
      <w:r w:rsidRPr="00B2757A">
        <w:rPr>
          <w:rFonts w:ascii="Times New Roman" w:eastAsia="Calibri" w:hAnsi="Times New Roman"/>
          <w:i/>
          <w:snapToGrid/>
        </w:rPr>
        <w:t>sua</w:t>
      </w:r>
      <w:proofErr w:type="spellEnd"/>
      <w:r w:rsidRPr="00B2757A">
        <w:rPr>
          <w:rFonts w:ascii="Times New Roman" w:eastAsia="Calibri" w:hAnsi="Times New Roman"/>
          <w:i/>
          <w:snapToGrid/>
        </w:rPr>
        <w:t xml:space="preserve"> </w:t>
      </w:r>
      <w:proofErr w:type="spellStart"/>
      <w:r w:rsidRPr="00B2757A">
        <w:rPr>
          <w:rFonts w:ascii="Times New Roman" w:eastAsia="Calibri" w:hAnsi="Times New Roman"/>
          <w:i/>
          <w:snapToGrid/>
        </w:rPr>
        <w:t>sponte</w:t>
      </w:r>
      <w:proofErr w:type="spellEnd"/>
      <w:r w:rsidRPr="00B2757A">
        <w:rPr>
          <w:rFonts w:ascii="Times New Roman" w:eastAsia="Calibri" w:hAnsi="Times New Roman"/>
          <w:snapToGrid/>
        </w:rPr>
        <w:t xml:space="preserve">, a </w:t>
      </w:r>
      <w:r w:rsidRPr="00B2757A">
        <w:rPr>
          <w:rFonts w:ascii="Times New Roman" w:hAnsi="Times New Roman"/>
        </w:rPr>
        <w:t>“Notice of Hearing and Order Continuing Stay of Court’s November 10, 2021 Order,” setting a status conference for the Court to “determine what, if any, modifications may be required to its November 10 Order in light of the Appropriations Act and/or other matters properly before the Court.”</w:t>
      </w:r>
      <w:r w:rsidR="006E692D">
        <w:rPr>
          <w:rFonts w:ascii="Times New Roman" w:hAnsi="Times New Roman"/>
        </w:rPr>
        <w:t xml:space="preserve">  (30 November 2021 Order at 2.)</w:t>
      </w:r>
      <w:r w:rsidRPr="00B2757A">
        <w:rPr>
          <w:rFonts w:ascii="Times New Roman" w:hAnsi="Times New Roman"/>
        </w:rPr>
        <w:t xml:space="preserve">  </w:t>
      </w:r>
      <w:proofErr w:type="gramStart"/>
      <w:r w:rsidRPr="00B2757A">
        <w:rPr>
          <w:rFonts w:ascii="Times New Roman" w:hAnsi="Times New Roman"/>
        </w:rPr>
        <w:t>The</w:t>
      </w:r>
      <w:proofErr w:type="gramEnd"/>
      <w:r w:rsidRPr="00B2757A">
        <w:rPr>
          <w:rFonts w:ascii="Times New Roman" w:hAnsi="Times New Roman"/>
        </w:rPr>
        <w:t xml:space="preserve"> Court also extended the stay set by the </w:t>
      </w:r>
      <w:r w:rsidR="007F0A9F" w:rsidRPr="00B2757A">
        <w:rPr>
          <w:rFonts w:ascii="Times New Roman" w:hAnsi="Times New Roman"/>
        </w:rPr>
        <w:t xml:space="preserve">10 </w:t>
      </w:r>
      <w:r w:rsidRPr="00B2757A">
        <w:rPr>
          <w:rFonts w:ascii="Times New Roman" w:hAnsi="Times New Roman"/>
        </w:rPr>
        <w:t>November Order so the Order did not become effective.</w:t>
      </w:r>
    </w:p>
    <w:p w:rsidR="00D30EA7" w:rsidRPr="00B2757A" w:rsidRDefault="00502AA3" w:rsidP="00D30EA7">
      <w:pPr>
        <w:spacing w:line="480" w:lineRule="auto"/>
        <w:ind w:firstLine="720"/>
        <w:jc w:val="both"/>
        <w:rPr>
          <w:rFonts w:ascii="Times New Roman" w:hAnsi="Times New Roman"/>
        </w:rPr>
      </w:pPr>
      <w:r w:rsidRPr="00B2757A">
        <w:rPr>
          <w:rFonts w:ascii="Times New Roman" w:hAnsi="Times New Roman"/>
        </w:rPr>
        <w:t xml:space="preserve">However, </w:t>
      </w:r>
      <w:r w:rsidR="00D30EA7" w:rsidRPr="00B2757A">
        <w:rPr>
          <w:rFonts w:ascii="Times New Roman" w:hAnsi="Times New Roman"/>
        </w:rPr>
        <w:t xml:space="preserve">also on 30 November 2021, and </w:t>
      </w:r>
      <w:r w:rsidRPr="00B2757A">
        <w:rPr>
          <w:rFonts w:ascii="Times New Roman" w:hAnsi="Times New Roman"/>
        </w:rPr>
        <w:t xml:space="preserve">prior to the status conference being held, a Writ of Prohibition was secured by Controller of North Carolina, then a non-party.  </w:t>
      </w:r>
      <w:r w:rsidR="00D30EA7" w:rsidRPr="00B2757A">
        <w:rPr>
          <w:rFonts w:ascii="Times New Roman" w:hAnsi="Times New Roman"/>
        </w:rPr>
        <w:t xml:space="preserve">(ECF No. 10.4.)  </w:t>
      </w:r>
      <w:r w:rsidRPr="00B2757A">
        <w:rPr>
          <w:rFonts w:ascii="Times New Roman" w:hAnsi="Times New Roman"/>
        </w:rPr>
        <w:t>After that, both the State of North Carolina (through the Department of Justice) and Legislative-</w:t>
      </w:r>
      <w:proofErr w:type="spellStart"/>
      <w:r w:rsidRPr="00B2757A">
        <w:rPr>
          <w:rFonts w:ascii="Times New Roman" w:hAnsi="Times New Roman"/>
        </w:rPr>
        <w:t>Intervenors</w:t>
      </w:r>
      <w:proofErr w:type="spellEnd"/>
      <w:r w:rsidRPr="00B2757A">
        <w:rPr>
          <w:rFonts w:ascii="Times New Roman" w:hAnsi="Times New Roman"/>
        </w:rPr>
        <w:t xml:space="preserve"> </w:t>
      </w:r>
      <w:r w:rsidR="007E1DFF" w:rsidRPr="00B2757A">
        <w:rPr>
          <w:rFonts w:ascii="Times New Roman" w:hAnsi="Times New Roman"/>
        </w:rPr>
        <w:t xml:space="preserve">Phillip E. Berger, President Pro Tempore of the North Carolina Senate, and Timothy Moore, Speaker of the North Carolina House of Representatives, </w:t>
      </w:r>
      <w:r w:rsidR="005417F9" w:rsidRPr="00B2757A">
        <w:rPr>
          <w:rFonts w:ascii="Times New Roman" w:hAnsi="Times New Roman"/>
        </w:rPr>
        <w:t>together</w:t>
      </w:r>
      <w:r w:rsidR="007E1DFF" w:rsidRPr="00B2757A">
        <w:rPr>
          <w:rFonts w:ascii="Times New Roman" w:hAnsi="Times New Roman"/>
        </w:rPr>
        <w:t xml:space="preserve"> on behalf of the North Carolina General Assembly, </w:t>
      </w:r>
      <w:r w:rsidRPr="00B2757A">
        <w:rPr>
          <w:rFonts w:ascii="Times New Roman" w:hAnsi="Times New Roman"/>
        </w:rPr>
        <w:t xml:space="preserve">appealed the </w:t>
      </w:r>
      <w:r w:rsidR="00D30EA7" w:rsidRPr="00B2757A">
        <w:rPr>
          <w:rFonts w:ascii="Times New Roman" w:hAnsi="Times New Roman"/>
        </w:rPr>
        <w:t xml:space="preserve">10 </w:t>
      </w:r>
      <w:r w:rsidRPr="00B2757A">
        <w:rPr>
          <w:rFonts w:ascii="Times New Roman" w:hAnsi="Times New Roman"/>
        </w:rPr>
        <w:t xml:space="preserve">November Order.  </w:t>
      </w:r>
    </w:p>
    <w:p w:rsidR="00D30EA7" w:rsidRPr="00B2757A" w:rsidRDefault="00D30EA7" w:rsidP="00D30EA7">
      <w:pPr>
        <w:spacing w:line="480" w:lineRule="auto"/>
        <w:ind w:firstLine="720"/>
        <w:jc w:val="both"/>
        <w:rPr>
          <w:rFonts w:ascii="Times New Roman" w:hAnsi="Times New Roman"/>
        </w:rPr>
      </w:pPr>
      <w:r w:rsidRPr="00B2757A">
        <w:rPr>
          <w:rFonts w:ascii="Times New Roman" w:hAnsi="Times New Roman"/>
        </w:rPr>
        <w:t>On 14 February 2022, t</w:t>
      </w:r>
      <w:r w:rsidR="00502AA3" w:rsidRPr="00B2757A">
        <w:rPr>
          <w:rFonts w:ascii="Times New Roman" w:hAnsi="Times New Roman"/>
        </w:rPr>
        <w:t xml:space="preserve">he Department of Justice filed a Petition for Discretionary Review in the Supreme Court </w:t>
      </w:r>
      <w:r w:rsidR="00502AA3" w:rsidRPr="00B2757A">
        <w:rPr>
          <w:rFonts w:ascii="Times New Roman" w:eastAsia="Calibri" w:hAnsi="Times New Roman"/>
          <w:snapToGrid/>
        </w:rPr>
        <w:t xml:space="preserve">seeking to bypass the Court of Appeals.  </w:t>
      </w:r>
      <w:r w:rsidR="00502AA3" w:rsidRPr="00B2757A">
        <w:rPr>
          <w:rFonts w:ascii="Times New Roman" w:eastAsia="Calibri" w:hAnsi="Times New Roman"/>
          <w:i/>
          <w:snapToGrid/>
        </w:rPr>
        <w:t>Hoke County v. North Carolina</w:t>
      </w:r>
      <w:r w:rsidR="00502AA3" w:rsidRPr="00B2757A">
        <w:rPr>
          <w:rFonts w:ascii="Times New Roman" w:eastAsia="Calibri" w:hAnsi="Times New Roman"/>
          <w:snapToGrid/>
        </w:rPr>
        <w:t xml:space="preserve">, No. 425A21-2 (14 February 2022) (“Bypass Petition”).  </w:t>
      </w:r>
      <w:r w:rsidR="005417F9" w:rsidRPr="00B2757A">
        <w:rPr>
          <w:rFonts w:ascii="Times New Roman" w:eastAsia="Calibri" w:hAnsi="Times New Roman"/>
          <w:snapToGrid/>
        </w:rPr>
        <w:t>The Supreme Court granted the Bypass P</w:t>
      </w:r>
      <w:r w:rsidR="00502AA3" w:rsidRPr="00B2757A">
        <w:rPr>
          <w:rFonts w:ascii="Times New Roman" w:eastAsia="Calibri" w:hAnsi="Times New Roman"/>
          <w:snapToGrid/>
        </w:rPr>
        <w:t xml:space="preserve">etition, but simultaneously remanded the case to this Court.  </w:t>
      </w:r>
      <w:r w:rsidR="00502AA3" w:rsidRPr="00B2757A">
        <w:rPr>
          <w:rFonts w:ascii="Times New Roman" w:eastAsia="Calibri" w:hAnsi="Times New Roman"/>
          <w:i/>
          <w:snapToGrid/>
        </w:rPr>
        <w:t>Hoke County v. North Carolina</w:t>
      </w:r>
      <w:r w:rsidR="00502AA3" w:rsidRPr="00B2757A">
        <w:rPr>
          <w:rFonts w:ascii="Times New Roman" w:eastAsia="Calibri" w:hAnsi="Times New Roman"/>
          <w:snapToGrid/>
        </w:rPr>
        <w:t xml:space="preserve">, No. 425A21-2 (N.C. 21 March, 2022) (“Remand Order”).  </w:t>
      </w:r>
    </w:p>
    <w:p w:rsidR="00502AA3" w:rsidRPr="00B2757A" w:rsidRDefault="00502AA3" w:rsidP="00D30EA7">
      <w:pPr>
        <w:spacing w:line="480" w:lineRule="auto"/>
        <w:ind w:firstLine="720"/>
        <w:jc w:val="both"/>
        <w:rPr>
          <w:rFonts w:ascii="Times New Roman" w:hAnsi="Times New Roman"/>
        </w:rPr>
      </w:pPr>
      <w:r w:rsidRPr="00B2757A">
        <w:rPr>
          <w:rFonts w:ascii="Times New Roman" w:eastAsia="Calibri" w:hAnsi="Times New Roman"/>
          <w:snapToGrid/>
        </w:rPr>
        <w:t>In the Remand Order, the Supreme Court instructed this Court to consider “</w:t>
      </w:r>
      <w:r w:rsidR="00D30EA7" w:rsidRPr="00B2757A">
        <w:rPr>
          <w:rFonts w:ascii="Times New Roman" w:eastAsia="Calibri" w:hAnsi="Times New Roman"/>
          <w:snapToGrid/>
        </w:rPr>
        <w:t xml:space="preserve">what effect, if any, the enactment of the State Budget has upon the nature and extent of the relief that the trial court granted” in the 10 November Order.  (ECF No. 1.)  </w:t>
      </w:r>
      <w:r w:rsidRPr="00B2757A">
        <w:rPr>
          <w:rFonts w:ascii="Times New Roman" w:eastAsia="Calibri" w:hAnsi="Times New Roman"/>
          <w:snapToGrid/>
        </w:rPr>
        <w:t xml:space="preserve">  </w:t>
      </w:r>
    </w:p>
    <w:p w:rsidR="00502AA3" w:rsidRPr="00B2757A" w:rsidRDefault="00502AA3" w:rsidP="00502AA3">
      <w:pPr>
        <w:spacing w:line="480" w:lineRule="auto"/>
        <w:ind w:firstLine="720"/>
        <w:jc w:val="both"/>
        <w:rPr>
          <w:rFonts w:ascii="Times New Roman" w:eastAsia="Calibri" w:hAnsi="Times New Roman"/>
          <w:snapToGrid/>
        </w:rPr>
      </w:pPr>
      <w:r w:rsidRPr="00B2757A">
        <w:rPr>
          <w:rFonts w:ascii="Times New Roman" w:eastAsia="Calibri" w:hAnsi="Times New Roman"/>
          <w:snapToGrid/>
        </w:rPr>
        <w:lastRenderedPageBreak/>
        <w:t xml:space="preserve">The Court received briefs from all parties in this matter, including newly-intervened parties.  </w:t>
      </w:r>
      <w:r w:rsidR="00D30EA7" w:rsidRPr="00B2757A">
        <w:rPr>
          <w:rFonts w:ascii="Times New Roman" w:eastAsia="Calibri" w:hAnsi="Times New Roman"/>
          <w:snapToGrid/>
        </w:rPr>
        <w:t>On 13 April 2022, the</w:t>
      </w:r>
      <w:r w:rsidRPr="00B2757A">
        <w:rPr>
          <w:rFonts w:ascii="Times New Roman" w:eastAsia="Calibri" w:hAnsi="Times New Roman"/>
          <w:snapToGrid/>
        </w:rPr>
        <w:t xml:space="preserve"> Court also held a hearing and is satisfied it has fully heard all the issues presented.</w:t>
      </w:r>
      <w:r w:rsidR="00D30EA7" w:rsidRPr="00B2757A">
        <w:rPr>
          <w:rFonts w:ascii="Times New Roman" w:eastAsia="Calibri" w:hAnsi="Times New Roman"/>
          <w:snapToGrid/>
        </w:rPr>
        <w:t xml:space="preserve">  Base</w:t>
      </w:r>
      <w:r w:rsidR="008D5DF8" w:rsidRPr="00B2757A">
        <w:rPr>
          <w:rFonts w:ascii="Times New Roman" w:eastAsia="Calibri" w:hAnsi="Times New Roman"/>
          <w:snapToGrid/>
        </w:rPr>
        <w:t>d on the arguments presented by counsel in briefing and at oral argument, as well as review of the relevant facts and case law, the Court hereby makes</w:t>
      </w:r>
      <w:r w:rsidR="008E0E9B" w:rsidRPr="00B2757A">
        <w:rPr>
          <w:rFonts w:ascii="Times New Roman" w:eastAsia="Calibri" w:hAnsi="Times New Roman"/>
          <w:snapToGrid/>
        </w:rPr>
        <w:t xml:space="preserve"> the following Findings</w:t>
      </w:r>
      <w:r w:rsidR="00607B92" w:rsidRPr="00B2757A">
        <w:rPr>
          <w:rFonts w:ascii="Times New Roman" w:eastAsia="Calibri" w:hAnsi="Times New Roman"/>
          <w:snapToGrid/>
        </w:rPr>
        <w:t xml:space="preserve"> of Fact and Conclusions of Law.</w:t>
      </w:r>
    </w:p>
    <w:p w:rsidR="008E0E9B" w:rsidRPr="00B2757A" w:rsidRDefault="008E0E9B" w:rsidP="008E0E9B">
      <w:pPr>
        <w:pStyle w:val="ListParagraph"/>
        <w:numPr>
          <w:ilvl w:val="0"/>
          <w:numId w:val="8"/>
        </w:numPr>
        <w:spacing w:line="480" w:lineRule="auto"/>
        <w:ind w:left="720"/>
        <w:jc w:val="both"/>
        <w:rPr>
          <w:rFonts w:ascii="Times New Roman" w:eastAsia="Calibri" w:hAnsi="Times New Roman"/>
          <w:b/>
          <w:snapToGrid/>
        </w:rPr>
      </w:pPr>
      <w:r w:rsidRPr="00B2757A">
        <w:rPr>
          <w:rFonts w:ascii="Times New Roman" w:eastAsia="Calibri" w:hAnsi="Times New Roman"/>
          <w:b/>
          <w:snapToGrid/>
        </w:rPr>
        <w:t>FINDINGS OF FACT</w:t>
      </w:r>
    </w:p>
    <w:p w:rsidR="00607B92" w:rsidRPr="00B2757A" w:rsidRDefault="006D4890"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The 10 November Order was issued in the absence of a duly enacted budget.  </w:t>
      </w:r>
      <w:r w:rsidR="006E692D">
        <w:rPr>
          <w:rFonts w:ascii="Times New Roman" w:hAnsi="Times New Roman"/>
        </w:rPr>
        <w:t>(10 November Order at 11.)</w:t>
      </w:r>
      <w:r w:rsidRPr="00B2757A">
        <w:rPr>
          <w:rFonts w:ascii="Times New Roman" w:hAnsi="Times New Roman"/>
        </w:rPr>
        <w:t xml:space="preserve">  </w:t>
      </w:r>
    </w:p>
    <w:p w:rsidR="00191F12" w:rsidRPr="00B2757A" w:rsidRDefault="006D4890"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While the 10 November Order was stayed, the General Assembly, with the Governor’s signature, passed the Budget Act.  Therefore, the circumstances giving rise to the 10 November Order changed while its enforcement was suspended by the Court.</w:t>
      </w:r>
    </w:p>
    <w:p w:rsidR="00191F12" w:rsidRPr="00B2757A" w:rsidRDefault="00191F12"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The </w:t>
      </w:r>
      <w:r w:rsidR="006E692D">
        <w:rPr>
          <w:rFonts w:ascii="Times New Roman" w:eastAsia="Calibri" w:hAnsi="Times New Roman"/>
          <w:snapToGrid/>
        </w:rPr>
        <w:t>moneys</w:t>
      </w:r>
      <w:r w:rsidRPr="00B2757A">
        <w:rPr>
          <w:rFonts w:ascii="Times New Roman" w:eastAsia="Calibri" w:hAnsi="Times New Roman"/>
          <w:snapToGrid/>
        </w:rPr>
        <w:t xml:space="preserve"> in the General Fund are used to support the State’s general, day-to-day operating expenses. The General Fund includes all cash inflows and outflows that are not otherwise associated with a special purpose fund.  </w:t>
      </w:r>
      <w:r w:rsidRPr="00B2757A">
        <w:rPr>
          <w:rFonts w:ascii="Times New Roman" w:eastAsia="Calibri" w:hAnsi="Times New Roman"/>
          <w:i/>
          <w:snapToGrid/>
        </w:rPr>
        <w:t>See</w:t>
      </w:r>
      <w:r w:rsidRPr="00B2757A">
        <w:rPr>
          <w:rFonts w:ascii="Times New Roman" w:eastAsia="Calibri" w:hAnsi="Times New Roman"/>
          <w:snapToGrid/>
        </w:rPr>
        <w:t xml:space="preserve"> N.C. Gen. Stat. § 143C-1-3(3)(a).  </w:t>
      </w:r>
    </w:p>
    <w:p w:rsidR="00191F12" w:rsidRPr="00B2757A" w:rsidRDefault="00191F12"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The General Fund includes both appropriated and unappropriated moneys.  </w:t>
      </w:r>
      <w:r w:rsidR="006E692D">
        <w:rPr>
          <w:rFonts w:ascii="Times New Roman" w:eastAsia="Calibri" w:hAnsi="Times New Roman"/>
          <w:snapToGrid/>
        </w:rPr>
        <w:t>Moneys</w:t>
      </w:r>
      <w:r w:rsidRPr="00B2757A">
        <w:rPr>
          <w:rFonts w:ascii="Times New Roman" w:eastAsia="Calibri" w:hAnsi="Times New Roman"/>
          <w:snapToGrid/>
        </w:rPr>
        <w:t xml:space="preserve"> are “appropriated” when the General Assembly enacts a law authorizing a with</w:t>
      </w:r>
      <w:r w:rsidR="00607B92" w:rsidRPr="00B2757A">
        <w:rPr>
          <w:rFonts w:ascii="Times New Roman" w:eastAsia="Calibri" w:hAnsi="Times New Roman"/>
          <w:snapToGrid/>
        </w:rPr>
        <w:t>drawal of money from the State T</w:t>
      </w:r>
      <w:r w:rsidRPr="00B2757A">
        <w:rPr>
          <w:rFonts w:ascii="Times New Roman" w:eastAsia="Calibri" w:hAnsi="Times New Roman"/>
          <w:snapToGrid/>
        </w:rPr>
        <w:t>reasury.</w:t>
      </w:r>
      <w:r w:rsidR="007B3AA2">
        <w:rPr>
          <w:rFonts w:ascii="Times New Roman" w:eastAsia="Calibri" w:hAnsi="Times New Roman"/>
          <w:snapToGrid/>
        </w:rPr>
        <w:t xml:space="preserve"> </w:t>
      </w:r>
      <w:r w:rsidRPr="00B2757A">
        <w:rPr>
          <w:rFonts w:ascii="Times New Roman" w:eastAsia="Calibri" w:hAnsi="Times New Roman"/>
          <w:snapToGrid/>
        </w:rPr>
        <w:t xml:space="preserve"> </w:t>
      </w:r>
      <w:r w:rsidR="006E692D">
        <w:rPr>
          <w:rFonts w:ascii="Times New Roman" w:eastAsia="Calibri" w:hAnsi="Times New Roman"/>
          <w:snapToGrid/>
        </w:rPr>
        <w:t>Moneys</w:t>
      </w:r>
      <w:r w:rsidRPr="00B2757A">
        <w:rPr>
          <w:rFonts w:ascii="Times New Roman" w:eastAsia="Calibri" w:hAnsi="Times New Roman"/>
          <w:snapToGrid/>
        </w:rPr>
        <w:t xml:space="preserve"> that have been appropriated or transferred to a reserve are referred to as “reserved” funds. </w:t>
      </w:r>
      <w:r w:rsidR="007B3AA2">
        <w:rPr>
          <w:rFonts w:ascii="Times New Roman" w:eastAsia="Calibri" w:hAnsi="Times New Roman"/>
          <w:snapToGrid/>
        </w:rPr>
        <w:t xml:space="preserve"> </w:t>
      </w:r>
      <w:r w:rsidR="006E692D">
        <w:rPr>
          <w:rFonts w:ascii="Times New Roman" w:eastAsia="Calibri" w:hAnsi="Times New Roman"/>
          <w:snapToGrid/>
        </w:rPr>
        <w:t>Moneys</w:t>
      </w:r>
      <w:r w:rsidRPr="00B2757A">
        <w:rPr>
          <w:rFonts w:ascii="Times New Roman" w:eastAsia="Calibri" w:hAnsi="Times New Roman"/>
          <w:snapToGrid/>
        </w:rPr>
        <w:t xml:space="preserve"> that have not been appropriated or reserved are referred to as the “unappropriated balance remaining” on the availability statement and remain available for future appropriation.</w:t>
      </w:r>
    </w:p>
    <w:p w:rsidR="00191F12" w:rsidRPr="00B2757A" w:rsidRDefault="00191F12"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The Budget Act establishes several reserves, including the Savings Reserve, N.C. Gen. Stat. § 143C-4-2; the State Capital and Infrastructure Fund, N.C. Gen. Stat. § 143C-4-3.1; </w:t>
      </w:r>
      <w:r w:rsidRPr="00B2757A">
        <w:rPr>
          <w:rFonts w:ascii="Times New Roman" w:eastAsia="Calibri" w:hAnsi="Times New Roman"/>
          <w:snapToGrid/>
        </w:rPr>
        <w:lastRenderedPageBreak/>
        <w:t xml:space="preserve">the Contingency and Emergency Fund, N.C. Gen. Stat. § 143C-4-4; and the Pay Plan Reserve, N.C. Gen. Stat. § 143C-4-9, among others. </w:t>
      </w:r>
    </w:p>
    <w:p w:rsidR="00191F12" w:rsidRPr="00B2757A" w:rsidRDefault="00191F12"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Pursuant to the Budget Act, </w:t>
      </w:r>
      <w:r w:rsidR="006E692D">
        <w:rPr>
          <w:rFonts w:ascii="Times New Roman" w:eastAsia="Calibri" w:hAnsi="Times New Roman"/>
          <w:snapToGrid/>
        </w:rPr>
        <w:t>moneys</w:t>
      </w:r>
      <w:r w:rsidRPr="00B2757A">
        <w:rPr>
          <w:rFonts w:ascii="Times New Roman" w:eastAsia="Calibri" w:hAnsi="Times New Roman"/>
          <w:snapToGrid/>
        </w:rPr>
        <w:t xml:space="preserve"> that the General Assembly appropriates into a reserve “may be expended only for the purpose or purposes for which the reserve was established.” </w:t>
      </w:r>
      <w:r w:rsidRPr="00B2757A">
        <w:rPr>
          <w:rFonts w:ascii="Times New Roman" w:eastAsia="Calibri" w:hAnsi="Times New Roman"/>
          <w:i/>
          <w:snapToGrid/>
        </w:rPr>
        <w:t>See</w:t>
      </w:r>
      <w:r w:rsidR="00607B92" w:rsidRPr="00B2757A">
        <w:rPr>
          <w:rFonts w:ascii="Times New Roman" w:eastAsia="Calibri" w:hAnsi="Times New Roman"/>
          <w:snapToGrid/>
        </w:rPr>
        <w:t xml:space="preserve"> N.C. Gen. Stat. § 143C-4-8</w:t>
      </w:r>
      <w:r w:rsidRPr="00B2757A">
        <w:rPr>
          <w:rFonts w:ascii="Times New Roman" w:eastAsia="Calibri" w:hAnsi="Times New Roman"/>
          <w:snapToGrid/>
        </w:rPr>
        <w:t xml:space="preserve"> (</w:t>
      </w:r>
      <w:r w:rsidR="00607B92" w:rsidRPr="00B2757A">
        <w:rPr>
          <w:rFonts w:ascii="Times New Roman" w:eastAsia="Calibri" w:hAnsi="Times New Roman"/>
          <w:snapToGrid/>
        </w:rPr>
        <w:t>u</w:t>
      </w:r>
      <w:r w:rsidRPr="00B2757A">
        <w:rPr>
          <w:rFonts w:ascii="Times New Roman" w:eastAsia="Calibri" w:hAnsi="Times New Roman"/>
          <w:snapToGrid/>
        </w:rPr>
        <w:t xml:space="preserve">se of funds appropriated to a reserve).  </w:t>
      </w:r>
    </w:p>
    <w:p w:rsidR="00332742" w:rsidRPr="00B2757A" w:rsidRDefault="006D4890"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In fashioning the 10 November Order, the Court relied upon the Department of Justice’s representation that the State’s reserve balance as of August 2021 included $</w:t>
      </w:r>
      <w:r w:rsidR="001C5F97" w:rsidRPr="00B2757A">
        <w:rPr>
          <w:rFonts w:ascii="Times New Roman" w:eastAsia="Calibri" w:hAnsi="Times New Roman"/>
          <w:snapToGrid/>
        </w:rPr>
        <w:t xml:space="preserve">8 billion.  </w:t>
      </w:r>
      <w:r w:rsidRPr="00B2757A">
        <w:rPr>
          <w:rFonts w:ascii="Times New Roman" w:eastAsia="Calibri" w:hAnsi="Times New Roman"/>
          <w:snapToGrid/>
        </w:rPr>
        <w:t>(10 November Order at 9.)  Th</w:t>
      </w:r>
      <w:r w:rsidR="00332742" w:rsidRPr="00B2757A">
        <w:rPr>
          <w:rFonts w:ascii="Times New Roman" w:eastAsia="Calibri" w:hAnsi="Times New Roman"/>
          <w:snapToGrid/>
        </w:rPr>
        <w:t>e Department of Justice’s representation to this effect was based upon the cash balance for the State at the time</w:t>
      </w:r>
      <w:r w:rsidRPr="00B2757A">
        <w:rPr>
          <w:rFonts w:ascii="Times New Roman" w:eastAsia="Calibri" w:hAnsi="Times New Roman"/>
          <w:snapToGrid/>
        </w:rPr>
        <w:t xml:space="preserve">. </w:t>
      </w:r>
    </w:p>
    <w:p w:rsidR="00332742" w:rsidRPr="00B2757A" w:rsidRDefault="001C5F97"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The daily cash balance varies day-to-day</w:t>
      </w:r>
      <w:r w:rsidR="00C0281F" w:rsidRPr="00B2757A">
        <w:rPr>
          <w:rFonts w:ascii="Times New Roman" w:eastAsia="Calibri" w:hAnsi="Times New Roman"/>
          <w:snapToGrid/>
        </w:rPr>
        <w:t xml:space="preserve"> and fluctuates dramatically over the course of any given fiscal year</w:t>
      </w:r>
      <w:r w:rsidRPr="00B2757A">
        <w:rPr>
          <w:rFonts w:ascii="Times New Roman" w:eastAsia="Calibri" w:hAnsi="Times New Roman"/>
          <w:snapToGrid/>
        </w:rPr>
        <w:t xml:space="preserve">.  (Affidavit of Mark </w:t>
      </w:r>
      <w:proofErr w:type="spellStart"/>
      <w:r w:rsidRPr="00B2757A">
        <w:rPr>
          <w:rFonts w:ascii="Times New Roman" w:eastAsia="Calibri" w:hAnsi="Times New Roman"/>
          <w:snapToGrid/>
        </w:rPr>
        <w:t>Trogdon</w:t>
      </w:r>
      <w:proofErr w:type="spellEnd"/>
      <w:r w:rsidRPr="00B2757A">
        <w:rPr>
          <w:rFonts w:ascii="Times New Roman" w:eastAsia="Calibri" w:hAnsi="Times New Roman"/>
          <w:snapToGrid/>
        </w:rPr>
        <w:t xml:space="preserve"> (“</w:t>
      </w:r>
      <w:proofErr w:type="spellStart"/>
      <w:r w:rsidRPr="00B2757A">
        <w:rPr>
          <w:rFonts w:ascii="Times New Roman" w:eastAsia="Calibri" w:hAnsi="Times New Roman"/>
          <w:snapToGrid/>
        </w:rPr>
        <w:t>Trogdon</w:t>
      </w:r>
      <w:proofErr w:type="spellEnd"/>
      <w:r w:rsidRPr="00B2757A">
        <w:rPr>
          <w:rFonts w:ascii="Times New Roman" w:eastAsia="Calibri" w:hAnsi="Times New Roman"/>
          <w:snapToGrid/>
        </w:rPr>
        <w:t xml:space="preserve"> </w:t>
      </w:r>
      <w:proofErr w:type="spellStart"/>
      <w:r w:rsidRPr="00B2757A">
        <w:rPr>
          <w:rFonts w:ascii="Times New Roman" w:eastAsia="Calibri" w:hAnsi="Times New Roman"/>
          <w:snapToGrid/>
        </w:rPr>
        <w:t>Aff</w:t>
      </w:r>
      <w:proofErr w:type="spellEnd"/>
      <w:r w:rsidRPr="00B2757A">
        <w:rPr>
          <w:rFonts w:ascii="Times New Roman" w:eastAsia="Calibri" w:hAnsi="Times New Roman"/>
          <w:snapToGrid/>
        </w:rPr>
        <w:t>.”), ¶ 45.)  Additionally, and importantly</w:t>
      </w:r>
      <w:r w:rsidR="00332742" w:rsidRPr="00B2757A">
        <w:rPr>
          <w:rFonts w:ascii="Times New Roman" w:eastAsia="Calibri" w:hAnsi="Times New Roman"/>
          <w:snapToGrid/>
        </w:rPr>
        <w:t xml:space="preserve">, the daily cash balance shows only the </w:t>
      </w:r>
      <w:r w:rsidRPr="00B2757A">
        <w:rPr>
          <w:rFonts w:ascii="Times New Roman" w:eastAsia="Calibri" w:hAnsi="Times New Roman"/>
          <w:snapToGrid/>
        </w:rPr>
        <w:t xml:space="preserve">money that has </w:t>
      </w:r>
      <w:r w:rsidRPr="00B2757A">
        <w:rPr>
          <w:rFonts w:ascii="Times New Roman" w:eastAsia="Calibri" w:hAnsi="Times New Roman"/>
          <w:i/>
          <w:iCs/>
          <w:snapToGrid/>
        </w:rPr>
        <w:t>been allocated to the State’s statutory reserves</w:t>
      </w:r>
      <w:r w:rsidR="00332742" w:rsidRPr="00B2757A">
        <w:rPr>
          <w:rFonts w:ascii="Times New Roman" w:eastAsia="Calibri" w:hAnsi="Times New Roman"/>
          <w:snapToGrid/>
        </w:rPr>
        <w:t xml:space="preserve">, and thus is not the appropriate vehicle for determining how much unreserved, unappropriated General Fund </w:t>
      </w:r>
      <w:r w:rsidR="00C0281F" w:rsidRPr="00B2757A">
        <w:rPr>
          <w:rFonts w:ascii="Times New Roman" w:eastAsia="Calibri" w:hAnsi="Times New Roman"/>
          <w:snapToGrid/>
        </w:rPr>
        <w:t>revenue</w:t>
      </w:r>
      <w:r w:rsidR="00332742" w:rsidRPr="00B2757A">
        <w:rPr>
          <w:rFonts w:ascii="Times New Roman" w:eastAsia="Calibri" w:hAnsi="Times New Roman"/>
          <w:snapToGrid/>
        </w:rPr>
        <w:t xml:space="preserve"> </w:t>
      </w:r>
      <w:r w:rsidR="00C0281F" w:rsidRPr="00B2757A">
        <w:rPr>
          <w:rFonts w:ascii="Times New Roman" w:eastAsia="Calibri" w:hAnsi="Times New Roman"/>
          <w:snapToGrid/>
        </w:rPr>
        <w:t>remains</w:t>
      </w:r>
      <w:r w:rsidR="00332742" w:rsidRPr="00B2757A">
        <w:rPr>
          <w:rFonts w:ascii="Times New Roman" w:eastAsia="Calibri" w:hAnsi="Times New Roman"/>
          <w:snapToGrid/>
        </w:rPr>
        <w:t xml:space="preserve"> available to </w:t>
      </w:r>
      <w:r w:rsidRPr="00B2757A">
        <w:rPr>
          <w:rFonts w:ascii="Times New Roman" w:eastAsia="Calibri" w:hAnsi="Times New Roman"/>
          <w:snapToGrid/>
        </w:rPr>
        <w:t>pay current expenses</w:t>
      </w:r>
      <w:r w:rsidR="00332742" w:rsidRPr="00B2757A">
        <w:rPr>
          <w:rFonts w:ascii="Times New Roman" w:eastAsia="Calibri" w:hAnsi="Times New Roman"/>
          <w:snapToGrid/>
        </w:rPr>
        <w:t xml:space="preserve">. </w:t>
      </w:r>
      <w:r w:rsidR="00B74C0C" w:rsidRPr="00B2757A">
        <w:rPr>
          <w:rFonts w:ascii="Times New Roman" w:eastAsia="Calibri" w:hAnsi="Times New Roman"/>
          <w:snapToGrid/>
        </w:rPr>
        <w:t xml:space="preserve"> (</w:t>
      </w:r>
      <w:proofErr w:type="spellStart"/>
      <w:r w:rsidR="00B74C0C" w:rsidRPr="00B2757A">
        <w:rPr>
          <w:rFonts w:ascii="Times New Roman" w:eastAsia="Calibri" w:hAnsi="Times New Roman"/>
          <w:snapToGrid/>
        </w:rPr>
        <w:t>Trogdon</w:t>
      </w:r>
      <w:proofErr w:type="spellEnd"/>
      <w:r w:rsidR="00B74C0C" w:rsidRPr="00B2757A">
        <w:rPr>
          <w:rFonts w:ascii="Times New Roman" w:eastAsia="Calibri" w:hAnsi="Times New Roman"/>
          <w:snapToGrid/>
        </w:rPr>
        <w:t xml:space="preserve"> </w:t>
      </w:r>
      <w:proofErr w:type="spellStart"/>
      <w:r w:rsidR="00B74C0C" w:rsidRPr="00B2757A">
        <w:rPr>
          <w:rFonts w:ascii="Times New Roman" w:eastAsia="Calibri" w:hAnsi="Times New Roman"/>
          <w:snapToGrid/>
        </w:rPr>
        <w:t>Aff</w:t>
      </w:r>
      <w:proofErr w:type="spellEnd"/>
      <w:r w:rsidR="00B74C0C" w:rsidRPr="00B2757A">
        <w:rPr>
          <w:rFonts w:ascii="Times New Roman" w:eastAsia="Calibri" w:hAnsi="Times New Roman"/>
          <w:snapToGrid/>
        </w:rPr>
        <w:t xml:space="preserve">., </w:t>
      </w:r>
      <w:r w:rsidR="00332742" w:rsidRPr="00B2757A">
        <w:rPr>
          <w:rFonts w:ascii="Times New Roman" w:eastAsia="Calibri" w:hAnsi="Times New Roman"/>
          <w:snapToGrid/>
        </w:rPr>
        <w:t>¶</w:t>
      </w:r>
      <w:r w:rsidR="00B74C0C" w:rsidRPr="00B2757A">
        <w:rPr>
          <w:rFonts w:ascii="Times New Roman" w:eastAsia="Calibri" w:hAnsi="Times New Roman"/>
          <w:snapToGrid/>
        </w:rPr>
        <w:t xml:space="preserve">¶ </w:t>
      </w:r>
      <w:r w:rsidR="00332742" w:rsidRPr="00B2757A">
        <w:rPr>
          <w:rFonts w:ascii="Times New Roman" w:eastAsia="Calibri" w:hAnsi="Times New Roman"/>
          <w:snapToGrid/>
        </w:rPr>
        <w:t>44-47</w:t>
      </w:r>
      <w:r w:rsidRPr="00B2757A">
        <w:rPr>
          <w:rFonts w:ascii="Times New Roman" w:eastAsia="Calibri" w:hAnsi="Times New Roman"/>
          <w:snapToGrid/>
        </w:rPr>
        <w:t xml:space="preserve"> &amp; Ex. B.</w:t>
      </w:r>
      <w:r w:rsidR="00B74C0C" w:rsidRPr="00B2757A">
        <w:rPr>
          <w:rFonts w:ascii="Times New Roman" w:eastAsia="Calibri" w:hAnsi="Times New Roman"/>
          <w:snapToGrid/>
        </w:rPr>
        <w:t>)</w:t>
      </w:r>
      <w:r w:rsidR="00332742" w:rsidRPr="00B2757A">
        <w:rPr>
          <w:rFonts w:ascii="Times New Roman" w:eastAsia="Calibri" w:hAnsi="Times New Roman"/>
          <w:snapToGrid/>
        </w:rPr>
        <w:t xml:space="preserve">  </w:t>
      </w:r>
    </w:p>
    <w:p w:rsidR="001C5F97" w:rsidRPr="00B2757A" w:rsidRDefault="001C5F97"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The Department of Justice also represented that the State was projected to have “more than $5 billion in forecasts revenues.” (</w:t>
      </w:r>
      <w:r w:rsidRPr="00B2757A">
        <w:rPr>
          <w:rFonts w:ascii="Times New Roman" w:eastAsia="Calibri" w:hAnsi="Times New Roman"/>
          <w:iCs/>
          <w:snapToGrid/>
        </w:rPr>
        <w:t>10 November Order at</w:t>
      </w:r>
      <w:r w:rsidRPr="00B2757A">
        <w:rPr>
          <w:rFonts w:ascii="Times New Roman" w:eastAsia="Calibri" w:hAnsi="Times New Roman"/>
          <w:i/>
          <w:iCs/>
          <w:snapToGrid/>
        </w:rPr>
        <w:t xml:space="preserve"> </w:t>
      </w:r>
      <w:r w:rsidRPr="007B3AA2">
        <w:rPr>
          <w:rFonts w:ascii="Times New Roman" w:eastAsia="Calibri" w:hAnsi="Times New Roman"/>
          <w:iCs/>
          <w:snapToGrid/>
        </w:rPr>
        <w:t>9</w:t>
      </w:r>
      <w:r w:rsidRPr="00B2757A">
        <w:rPr>
          <w:rFonts w:ascii="Times New Roman" w:eastAsia="Calibri" w:hAnsi="Times New Roman"/>
          <w:snapToGrid/>
        </w:rPr>
        <w:t>).  However, that representation ignores that those moneys were already included in the revenue that was to be appropriated</w:t>
      </w:r>
      <w:r w:rsidR="00DE59A5" w:rsidRPr="00B2757A">
        <w:rPr>
          <w:rFonts w:ascii="Times New Roman" w:eastAsia="Calibri" w:hAnsi="Times New Roman"/>
          <w:snapToGrid/>
        </w:rPr>
        <w:t>, and eventually was appropriated,</w:t>
      </w:r>
      <w:r w:rsidRPr="00B2757A">
        <w:rPr>
          <w:rFonts w:ascii="Times New Roman" w:eastAsia="Calibri" w:hAnsi="Times New Roman"/>
          <w:snapToGrid/>
        </w:rPr>
        <w:t xml:space="preserve"> under the Budget Act.  (</w:t>
      </w:r>
      <w:proofErr w:type="spellStart"/>
      <w:r w:rsidRPr="00B2757A">
        <w:rPr>
          <w:rFonts w:ascii="Times New Roman" w:eastAsia="Calibri" w:hAnsi="Times New Roman"/>
          <w:snapToGrid/>
        </w:rPr>
        <w:t>Trogdon</w:t>
      </w:r>
      <w:proofErr w:type="spellEnd"/>
      <w:r w:rsidRPr="00B2757A">
        <w:rPr>
          <w:rFonts w:ascii="Times New Roman" w:eastAsia="Calibri" w:hAnsi="Times New Roman"/>
          <w:snapToGrid/>
        </w:rPr>
        <w:t xml:space="preserve"> </w:t>
      </w:r>
      <w:proofErr w:type="spellStart"/>
      <w:r w:rsidRPr="00B2757A">
        <w:rPr>
          <w:rFonts w:ascii="Times New Roman" w:eastAsia="Calibri" w:hAnsi="Times New Roman"/>
          <w:snapToGrid/>
        </w:rPr>
        <w:t>Aff</w:t>
      </w:r>
      <w:proofErr w:type="spellEnd"/>
      <w:r w:rsidRPr="00B2757A">
        <w:rPr>
          <w:rFonts w:ascii="Times New Roman" w:eastAsia="Calibri" w:hAnsi="Times New Roman"/>
          <w:snapToGrid/>
        </w:rPr>
        <w:t xml:space="preserve">. </w:t>
      </w:r>
      <w:proofErr w:type="spellStart"/>
      <w:proofErr w:type="gramStart"/>
      <w:r w:rsidRPr="00B2757A">
        <w:rPr>
          <w:rFonts w:ascii="Times New Roman" w:eastAsia="Calibri" w:hAnsi="Times New Roman"/>
          <w:snapToGrid/>
        </w:rPr>
        <w:t>Ex.B</w:t>
      </w:r>
      <w:proofErr w:type="spellEnd"/>
      <w:proofErr w:type="gramEnd"/>
      <w:r w:rsidRPr="00B2757A">
        <w:rPr>
          <w:rFonts w:ascii="Times New Roman" w:eastAsia="Calibri" w:hAnsi="Times New Roman"/>
          <w:snapToGrid/>
        </w:rPr>
        <w:t>).</w:t>
      </w:r>
    </w:p>
    <w:p w:rsidR="00595E8E" w:rsidRPr="00B2757A" w:rsidRDefault="00595E8E"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While the current Budget Act reserves $1.134 billion to the State’s Savings Reserve, which would bring the total of unappropriated funds in the Sa</w:t>
      </w:r>
      <w:r w:rsidR="00DE59A5" w:rsidRPr="00B2757A">
        <w:rPr>
          <w:rFonts w:ascii="Times New Roman" w:eastAsia="Calibri" w:hAnsi="Times New Roman"/>
          <w:snapToGrid/>
        </w:rPr>
        <w:t>vings Reserve to $4.25 billion</w:t>
      </w:r>
      <w:r w:rsidRPr="00B2757A">
        <w:rPr>
          <w:rFonts w:ascii="Times New Roman" w:eastAsia="Calibri" w:hAnsi="Times New Roman"/>
          <w:snapToGrid/>
        </w:rPr>
        <w:t xml:space="preserve"> (Affidavit of Kristin L. Walker (“Walker </w:t>
      </w:r>
      <w:proofErr w:type="spellStart"/>
      <w:r w:rsidRPr="00B2757A">
        <w:rPr>
          <w:rFonts w:ascii="Times New Roman" w:eastAsia="Calibri" w:hAnsi="Times New Roman"/>
          <w:snapToGrid/>
        </w:rPr>
        <w:t>Aff</w:t>
      </w:r>
      <w:proofErr w:type="spellEnd"/>
      <w:r w:rsidRPr="00B2757A">
        <w:rPr>
          <w:rFonts w:ascii="Times New Roman" w:eastAsia="Calibri" w:hAnsi="Times New Roman"/>
          <w:snapToGrid/>
        </w:rPr>
        <w:t>.”), ¶ 8)</w:t>
      </w:r>
      <w:r w:rsidR="00607B92" w:rsidRPr="00B2757A">
        <w:rPr>
          <w:rFonts w:ascii="Times New Roman" w:eastAsia="Calibri" w:hAnsi="Times New Roman"/>
          <w:snapToGrid/>
        </w:rPr>
        <w:t>.  T</w:t>
      </w:r>
      <w:r w:rsidRPr="00B2757A">
        <w:rPr>
          <w:rFonts w:ascii="Times New Roman" w:eastAsia="Calibri" w:hAnsi="Times New Roman"/>
          <w:snapToGrid/>
        </w:rPr>
        <w:t xml:space="preserve">his $4.25 billion of unappropriated funds will exist in the Savings Reserve </w:t>
      </w:r>
      <w:r w:rsidRPr="00B2757A">
        <w:rPr>
          <w:rFonts w:ascii="Times New Roman" w:eastAsia="Calibri" w:hAnsi="Times New Roman"/>
          <w:i/>
          <w:snapToGrid/>
        </w:rPr>
        <w:t>at the end of FY 2022-23</w:t>
      </w:r>
      <w:r w:rsidRPr="00B2757A">
        <w:rPr>
          <w:rFonts w:ascii="Times New Roman" w:eastAsia="Calibri" w:hAnsi="Times New Roman"/>
          <w:snapToGrid/>
        </w:rPr>
        <w:t xml:space="preserve">, and only absent legislative action, </w:t>
      </w:r>
      <w:r w:rsidRPr="00B2757A">
        <w:rPr>
          <w:rFonts w:ascii="Times New Roman" w:eastAsia="Calibri" w:hAnsi="Times New Roman"/>
          <w:snapToGrid/>
        </w:rPr>
        <w:lastRenderedPageBreak/>
        <w:t>which cannot be predicted at this time.  (</w:t>
      </w:r>
      <w:proofErr w:type="spellStart"/>
      <w:r w:rsidRPr="00B2757A">
        <w:rPr>
          <w:rFonts w:ascii="Times New Roman" w:eastAsia="Calibri" w:hAnsi="Times New Roman"/>
          <w:snapToGrid/>
        </w:rPr>
        <w:t>Trogdon</w:t>
      </w:r>
      <w:proofErr w:type="spellEnd"/>
      <w:r w:rsidRPr="00B2757A">
        <w:rPr>
          <w:rFonts w:ascii="Times New Roman" w:eastAsia="Calibri" w:hAnsi="Times New Roman"/>
          <w:snapToGrid/>
        </w:rPr>
        <w:t xml:space="preserve"> </w:t>
      </w:r>
      <w:proofErr w:type="spellStart"/>
      <w:r w:rsidRPr="00B2757A">
        <w:rPr>
          <w:rFonts w:ascii="Times New Roman" w:eastAsia="Calibri" w:hAnsi="Times New Roman"/>
          <w:snapToGrid/>
        </w:rPr>
        <w:t>Aff</w:t>
      </w:r>
      <w:proofErr w:type="spellEnd"/>
      <w:r w:rsidRPr="00B2757A">
        <w:rPr>
          <w:rFonts w:ascii="Times New Roman" w:eastAsia="Calibri" w:hAnsi="Times New Roman"/>
          <w:snapToGrid/>
        </w:rPr>
        <w:t xml:space="preserve">., ¶ 42.)  Therefore, this number cannot dependably be relied upon in determining whether sufficient unappropriated, unreserved General Fund revenues exist sufficient to fund the Comprehensive Remedial Plan for FY 2021-22 and </w:t>
      </w:r>
      <w:r w:rsidR="00607B92" w:rsidRPr="00B2757A">
        <w:rPr>
          <w:rFonts w:ascii="Times New Roman" w:eastAsia="Calibri" w:hAnsi="Times New Roman"/>
          <w:snapToGrid/>
        </w:rPr>
        <w:t xml:space="preserve">FY </w:t>
      </w:r>
      <w:r w:rsidRPr="00B2757A">
        <w:rPr>
          <w:rFonts w:ascii="Times New Roman" w:eastAsia="Calibri" w:hAnsi="Times New Roman"/>
          <w:snapToGrid/>
        </w:rPr>
        <w:t xml:space="preserve">2022-23. </w:t>
      </w:r>
    </w:p>
    <w:p w:rsidR="00607B92" w:rsidRPr="00B2757A" w:rsidRDefault="005D3089"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The Budget Act anticipates a net of $2.38 billion unappropriated and unreserved funds at the end of FY 2021-22.  (Walker </w:t>
      </w:r>
      <w:proofErr w:type="spellStart"/>
      <w:r w:rsidRPr="00B2757A">
        <w:rPr>
          <w:rFonts w:ascii="Times New Roman" w:eastAsia="Calibri" w:hAnsi="Times New Roman"/>
          <w:snapToGrid/>
        </w:rPr>
        <w:t>Aff</w:t>
      </w:r>
      <w:proofErr w:type="spellEnd"/>
      <w:r w:rsidRPr="00B2757A">
        <w:rPr>
          <w:rFonts w:ascii="Times New Roman" w:eastAsia="Calibri" w:hAnsi="Times New Roman"/>
          <w:snapToGrid/>
        </w:rPr>
        <w:t>. ¶ 8).  However, the Budget Act also anticipates that the fund balance left at the end of FY 2021-22 will remain available to fund appropriat</w:t>
      </w:r>
      <w:r w:rsidR="00DE59A5" w:rsidRPr="00B2757A">
        <w:rPr>
          <w:rFonts w:ascii="Times New Roman" w:eastAsia="Calibri" w:hAnsi="Times New Roman"/>
          <w:snapToGrid/>
        </w:rPr>
        <w:t xml:space="preserve">ions in FY 2022-23 fiscal year. </w:t>
      </w:r>
    </w:p>
    <w:p w:rsidR="00595E8E" w:rsidRPr="00B2757A" w:rsidRDefault="00595E8E"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The biennial budget uses the unappropriated fund balance remaining at the end of FY 2021-22 to support appropriations in FY 2022-23 and serves as the starting point to fund appropriations for that year.  </w:t>
      </w:r>
    </w:p>
    <w:p w:rsidR="005D3089" w:rsidRPr="00B2757A" w:rsidRDefault="00595E8E" w:rsidP="005D3089">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The State is currently projected to have an unappropriated</w:t>
      </w:r>
      <w:r w:rsidR="00DE59A5" w:rsidRPr="00B2757A">
        <w:rPr>
          <w:rFonts w:ascii="Times New Roman" w:eastAsia="Calibri" w:hAnsi="Times New Roman"/>
          <w:snapToGrid/>
        </w:rPr>
        <w:t>, unreserved general fund</w:t>
      </w:r>
      <w:r w:rsidRPr="00B2757A">
        <w:rPr>
          <w:rFonts w:ascii="Times New Roman" w:eastAsia="Calibri" w:hAnsi="Times New Roman"/>
          <w:snapToGrid/>
        </w:rPr>
        <w:t xml:space="preserve"> balance of only $104,638, at the end of FY 2022-23.</w:t>
      </w:r>
    </w:p>
    <w:p w:rsidR="00DE59A5" w:rsidRPr="00B2757A" w:rsidRDefault="00DE59A5" w:rsidP="00DE59A5">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Consequently, there is no longer available unreserved General Fund </w:t>
      </w:r>
      <w:r w:rsidR="006E692D">
        <w:rPr>
          <w:rFonts w:ascii="Times New Roman" w:eastAsia="Calibri" w:hAnsi="Times New Roman"/>
          <w:snapToGrid/>
        </w:rPr>
        <w:t>moneys</w:t>
      </w:r>
      <w:r w:rsidRPr="00B2757A">
        <w:rPr>
          <w:rFonts w:ascii="Times New Roman" w:eastAsia="Calibri" w:hAnsi="Times New Roman"/>
          <w:snapToGrid/>
        </w:rPr>
        <w:t xml:space="preserve"> to make the transfer anticipated by the Court’s 10 November Order.  </w:t>
      </w:r>
    </w:p>
    <w:p w:rsidR="006D4890" w:rsidRPr="00B2757A" w:rsidRDefault="00332742"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Since the COVID-19 pandemic began, North Carolina school districts have been provided more than $5.8 billion in additional federal and State funding.  </w:t>
      </w:r>
      <w:r w:rsidRPr="00B2757A">
        <w:rPr>
          <w:rFonts w:ascii="Times New Roman" w:eastAsia="Calibri" w:hAnsi="Times New Roman"/>
          <w:i/>
          <w:snapToGrid/>
        </w:rPr>
        <w:t>See</w:t>
      </w:r>
      <w:r w:rsidRPr="00B2757A">
        <w:rPr>
          <w:rFonts w:ascii="Times New Roman" w:eastAsia="Calibri" w:hAnsi="Times New Roman"/>
          <w:snapToGrid/>
        </w:rPr>
        <w:t xml:space="preserve"> COVID Funds, </w:t>
      </w:r>
      <w:r w:rsidRPr="00B2757A">
        <w:rPr>
          <w:rFonts w:ascii="Times New Roman" w:eastAsia="Calibri" w:hAnsi="Times New Roman"/>
          <w:i/>
          <w:snapToGrid/>
        </w:rPr>
        <w:t>North Carolina Department of Public Instruction, Financial and Business Services</w:t>
      </w:r>
      <w:r w:rsidRPr="00B2757A">
        <w:rPr>
          <w:rFonts w:ascii="Times New Roman" w:eastAsia="Calibri" w:hAnsi="Times New Roman"/>
          <w:snapToGrid/>
        </w:rPr>
        <w:t xml:space="preserve">, available at https://tinyurl.com/35tb83ns (last visited April 8, 2022).  Yet, across the State, sixty-four percent (64%) of the COVID relief funds allocated to local school districts still remain unspent. Hoke County Public Schools alone has received more than $37.5 million in additional funding, with 57% (approximately $21.7 million) still unspent as of January 31, 2022.  </w:t>
      </w:r>
      <w:r w:rsidRPr="00B2757A">
        <w:rPr>
          <w:rFonts w:ascii="Times New Roman" w:eastAsia="Calibri" w:hAnsi="Times New Roman"/>
          <w:i/>
          <w:snapToGrid/>
        </w:rPr>
        <w:t>Id.</w:t>
      </w:r>
    </w:p>
    <w:p w:rsidR="00191F12" w:rsidRPr="00B2757A" w:rsidRDefault="00C11CD9"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lastRenderedPageBreak/>
        <w:t xml:space="preserve">With respect to determining which Comprehensive Remedial Plan action items are currently funded, in whole or part, by the enacted budget, the parties submitted competing numbers.  After a thorough review, the Court finds that the conclusions of the General Assembly’s nonpartisan fiscal staff within the Fiscal Research Division are the most accurate and adopts Exhibit D to Mr. </w:t>
      </w:r>
      <w:proofErr w:type="spellStart"/>
      <w:r w:rsidRPr="00B2757A">
        <w:rPr>
          <w:rFonts w:ascii="Times New Roman" w:eastAsia="Calibri" w:hAnsi="Times New Roman"/>
          <w:snapToGrid/>
        </w:rPr>
        <w:t>Trogdon’s</w:t>
      </w:r>
      <w:proofErr w:type="spellEnd"/>
      <w:r w:rsidRPr="00B2757A">
        <w:rPr>
          <w:rFonts w:ascii="Times New Roman" w:eastAsia="Calibri" w:hAnsi="Times New Roman"/>
          <w:snapToGrid/>
        </w:rPr>
        <w:t xml:space="preserve"> Affidavit as the most accurate and complete representation of the Comprehensive Remedial Plan action items funded by the enacted budget. </w:t>
      </w:r>
    </w:p>
    <w:p w:rsidR="00C11CD9" w:rsidRPr="00B2757A" w:rsidRDefault="00C11CD9" w:rsidP="00191F1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The enacted budget currently funds approximately $1.1</w:t>
      </w:r>
      <w:r w:rsidR="00DE59A5" w:rsidRPr="00B2757A">
        <w:rPr>
          <w:rFonts w:ascii="Times New Roman" w:eastAsia="Calibri" w:hAnsi="Times New Roman"/>
          <w:snapToGrid/>
        </w:rPr>
        <w:t>7</w:t>
      </w:r>
      <w:r w:rsidRPr="00B2757A">
        <w:rPr>
          <w:rFonts w:ascii="Times New Roman" w:eastAsia="Calibri" w:hAnsi="Times New Roman"/>
          <w:snapToGrid/>
        </w:rPr>
        <w:t xml:space="preserve"> billion of the action items proffered by the Comprehensive Remedial Plan.  This includes the appropriation of </w:t>
      </w:r>
      <w:r w:rsidR="006E692D">
        <w:rPr>
          <w:rFonts w:ascii="Times New Roman" w:eastAsia="Calibri" w:hAnsi="Times New Roman"/>
          <w:snapToGrid/>
        </w:rPr>
        <w:t>moneys</w:t>
      </w:r>
      <w:r w:rsidR="0007215C" w:rsidRPr="00B2757A">
        <w:rPr>
          <w:rFonts w:ascii="Times New Roman" w:eastAsia="Calibri" w:hAnsi="Times New Roman"/>
          <w:snapToGrid/>
        </w:rPr>
        <w:t xml:space="preserve"> derived from </w:t>
      </w:r>
      <w:r w:rsidRPr="00B2757A">
        <w:rPr>
          <w:rFonts w:ascii="Times New Roman" w:eastAsia="Calibri" w:hAnsi="Times New Roman"/>
          <w:snapToGrid/>
        </w:rPr>
        <w:t>federal funds</w:t>
      </w:r>
      <w:r w:rsidR="0007215C" w:rsidRPr="00B2757A">
        <w:rPr>
          <w:rFonts w:ascii="Times New Roman" w:eastAsia="Calibri" w:hAnsi="Times New Roman"/>
          <w:snapToGrid/>
        </w:rPr>
        <w:t xml:space="preserve"> and grants</w:t>
      </w:r>
      <w:r w:rsidRPr="00B2757A">
        <w:rPr>
          <w:rFonts w:ascii="Times New Roman" w:eastAsia="Calibri" w:hAnsi="Times New Roman"/>
          <w:snapToGrid/>
        </w:rPr>
        <w:t xml:space="preserve">, such as </w:t>
      </w:r>
      <w:r w:rsidR="007B3AA2">
        <w:rPr>
          <w:rFonts w:ascii="Times New Roman" w:eastAsia="Calibri" w:hAnsi="Times New Roman"/>
          <w:snapToGrid/>
        </w:rPr>
        <w:t xml:space="preserve">the </w:t>
      </w:r>
      <w:r w:rsidRPr="00B2757A">
        <w:rPr>
          <w:rFonts w:ascii="Times New Roman" w:eastAsia="Calibri" w:hAnsi="Times New Roman"/>
          <w:snapToGrid/>
        </w:rPr>
        <w:t xml:space="preserve">Elementary and Secondary School Emergency Relief (ESSER) </w:t>
      </w:r>
      <w:r w:rsidR="001B7482" w:rsidRPr="00B2757A">
        <w:rPr>
          <w:rFonts w:ascii="Times New Roman" w:eastAsia="Calibri" w:hAnsi="Times New Roman"/>
          <w:snapToGrid/>
        </w:rPr>
        <w:t>III Fund under the federal American Rescue Plan Act of 2021(“ARPA”),</w:t>
      </w:r>
      <w:r w:rsidRPr="00B2757A">
        <w:rPr>
          <w:rFonts w:ascii="Times New Roman" w:eastAsia="Calibri" w:hAnsi="Times New Roman"/>
          <w:snapToGrid/>
        </w:rPr>
        <w:t xml:space="preserve"> </w:t>
      </w:r>
      <w:r w:rsidR="001B7482" w:rsidRPr="00B2757A">
        <w:rPr>
          <w:rFonts w:ascii="Times New Roman" w:eastAsia="Calibri" w:hAnsi="Times New Roman"/>
          <w:snapToGrid/>
        </w:rPr>
        <w:t xml:space="preserve">Public Law 117-2, 50 Stat. 664 (March 11, 2021), as well as </w:t>
      </w:r>
      <w:r w:rsidR="007B3AA2">
        <w:rPr>
          <w:rFonts w:ascii="Times New Roman" w:eastAsia="Calibri" w:hAnsi="Times New Roman"/>
          <w:snapToGrid/>
        </w:rPr>
        <w:t xml:space="preserve">the </w:t>
      </w:r>
      <w:r w:rsidR="001B7482" w:rsidRPr="00B2757A">
        <w:rPr>
          <w:rFonts w:ascii="Times New Roman" w:eastAsia="Calibri" w:hAnsi="Times New Roman"/>
          <w:snapToGrid/>
        </w:rPr>
        <w:t xml:space="preserve">ARPA Child Care and Development Block Grant, </w:t>
      </w:r>
      <w:r w:rsidRPr="00B2757A">
        <w:rPr>
          <w:rFonts w:ascii="Times New Roman" w:eastAsia="Calibri" w:hAnsi="Times New Roman"/>
          <w:snapToGrid/>
        </w:rPr>
        <w:t xml:space="preserve">which should be included for the purpose of evaluating which action items are funded and which are not. </w:t>
      </w:r>
    </w:p>
    <w:p w:rsidR="00DE59A5" w:rsidRPr="00B2757A" w:rsidRDefault="00DE59A5" w:rsidP="00DE59A5">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In addition to the Fiscal Research Division’s calculations, (</w:t>
      </w:r>
      <w:proofErr w:type="spellStart"/>
      <w:r w:rsidRPr="00B2757A">
        <w:rPr>
          <w:rFonts w:ascii="Times New Roman" w:eastAsia="Calibri" w:hAnsi="Times New Roman"/>
          <w:snapToGrid/>
        </w:rPr>
        <w:t>Trogdon</w:t>
      </w:r>
      <w:proofErr w:type="spellEnd"/>
      <w:r w:rsidRPr="00B2757A">
        <w:rPr>
          <w:rFonts w:ascii="Times New Roman" w:eastAsia="Calibri" w:hAnsi="Times New Roman"/>
          <w:snapToGrid/>
        </w:rPr>
        <w:t xml:space="preserve"> </w:t>
      </w:r>
      <w:proofErr w:type="spellStart"/>
      <w:r w:rsidRPr="00B2757A">
        <w:rPr>
          <w:rFonts w:ascii="Times New Roman" w:eastAsia="Calibri" w:hAnsi="Times New Roman"/>
          <w:snapToGrid/>
        </w:rPr>
        <w:t>Aff</w:t>
      </w:r>
      <w:proofErr w:type="spellEnd"/>
      <w:r w:rsidRPr="00B2757A">
        <w:rPr>
          <w:rFonts w:ascii="Times New Roman" w:eastAsia="Calibri" w:hAnsi="Times New Roman"/>
          <w:snapToGrid/>
        </w:rPr>
        <w:t>. at Ex. D), the enacted budget includes the following sums which also satisfy action items in the Comprehensive Remedial Plan:</w:t>
      </w:r>
    </w:p>
    <w:p w:rsidR="00DE59A5" w:rsidRPr="00B2757A" w:rsidRDefault="00DE59A5" w:rsidP="00DE59A5">
      <w:pPr>
        <w:pStyle w:val="ListParagraph"/>
        <w:numPr>
          <w:ilvl w:val="1"/>
          <w:numId w:val="4"/>
        </w:numPr>
        <w:spacing w:line="480" w:lineRule="auto"/>
        <w:jc w:val="both"/>
        <w:rPr>
          <w:rFonts w:ascii="Times New Roman" w:eastAsia="Calibri" w:hAnsi="Times New Roman"/>
          <w:snapToGrid/>
        </w:rPr>
      </w:pPr>
      <w:r w:rsidRPr="00B2757A">
        <w:rPr>
          <w:rFonts w:ascii="Times New Roman" w:eastAsia="Calibri" w:hAnsi="Times New Roman"/>
          <w:snapToGrid/>
        </w:rPr>
        <w:t xml:space="preserve">$2.5 million in nonrecurring funds for computer science in FY 2021-22 for several purposes, including for providing training to K-12 teachers, as well as $1,411,256 that were appropriated in FY 2021-22 to the North Carolina Center for the Advancement of Teaching.  These amounts fund the professional development requirement of action item III.C.iii.1 in excess. </w:t>
      </w:r>
    </w:p>
    <w:p w:rsidR="00DE59A5" w:rsidRPr="00B2757A" w:rsidRDefault="00DE59A5" w:rsidP="00DE59A5">
      <w:pPr>
        <w:pStyle w:val="ListParagraph"/>
        <w:numPr>
          <w:ilvl w:val="1"/>
          <w:numId w:val="4"/>
        </w:numPr>
        <w:spacing w:line="480" w:lineRule="auto"/>
        <w:jc w:val="both"/>
        <w:rPr>
          <w:rFonts w:ascii="Times New Roman" w:eastAsia="Calibri" w:hAnsi="Times New Roman"/>
          <w:snapToGrid/>
        </w:rPr>
      </w:pPr>
      <w:r w:rsidRPr="00B2757A">
        <w:rPr>
          <w:rFonts w:ascii="Times New Roman" w:eastAsia="Calibri" w:hAnsi="Times New Roman"/>
          <w:snapToGrid/>
        </w:rPr>
        <w:lastRenderedPageBreak/>
        <w:t xml:space="preserve">$305,000 that the enacted budget appropriated in FY 2021-22 and FY 2022-23 for salary increases for teachers at the three residential schools for students who are deaf or blind.  This amount funds a portion of CRP action item III.E.ii.2. </w:t>
      </w:r>
    </w:p>
    <w:p w:rsidR="00DE59A5" w:rsidRPr="00B2757A" w:rsidRDefault="00DE59A5" w:rsidP="00DE59A5">
      <w:pPr>
        <w:pStyle w:val="ListParagraph"/>
        <w:numPr>
          <w:ilvl w:val="1"/>
          <w:numId w:val="4"/>
        </w:numPr>
        <w:spacing w:line="480" w:lineRule="auto"/>
        <w:jc w:val="both"/>
        <w:rPr>
          <w:rFonts w:ascii="Times New Roman" w:eastAsia="Calibri" w:hAnsi="Times New Roman"/>
          <w:snapToGrid/>
        </w:rPr>
      </w:pPr>
      <w:r w:rsidRPr="00B2757A">
        <w:rPr>
          <w:rFonts w:ascii="Times New Roman" w:eastAsia="Calibri" w:hAnsi="Times New Roman"/>
          <w:snapToGrid/>
        </w:rPr>
        <w:t xml:space="preserve">$139,748,398 in recurring funds appropriated by 2018 N.C. Sess. L. 2, § 5(d), which remains as part of the base budget.  This amount funds action item III.C.ii.1 in excess. </w:t>
      </w:r>
    </w:p>
    <w:p w:rsidR="007326E3" w:rsidRDefault="007326E3" w:rsidP="00332742">
      <w:pPr>
        <w:pStyle w:val="ListParagraph"/>
        <w:numPr>
          <w:ilvl w:val="0"/>
          <w:numId w:val="4"/>
        </w:numPr>
        <w:spacing w:line="480" w:lineRule="auto"/>
        <w:ind w:left="0" w:firstLine="720"/>
        <w:jc w:val="both"/>
        <w:rPr>
          <w:rFonts w:ascii="Times New Roman" w:eastAsia="Calibri" w:hAnsi="Times New Roman"/>
          <w:snapToGrid/>
        </w:rPr>
      </w:pPr>
      <w:r>
        <w:rPr>
          <w:rFonts w:ascii="Times New Roman" w:eastAsia="Calibri" w:hAnsi="Times New Roman"/>
          <w:snapToGrid/>
        </w:rPr>
        <w:t xml:space="preserve">Additionally, the </w:t>
      </w:r>
      <w:r w:rsidRPr="007326E3">
        <w:rPr>
          <w:rFonts w:ascii="Times New Roman" w:eastAsia="Calibri" w:hAnsi="Times New Roman"/>
          <w:snapToGrid/>
        </w:rPr>
        <w:t xml:space="preserve">General Assembly has appropriated to measures that were not included in </w:t>
      </w:r>
      <w:r>
        <w:rPr>
          <w:rFonts w:ascii="Times New Roman" w:eastAsia="Calibri" w:hAnsi="Times New Roman"/>
          <w:snapToGrid/>
        </w:rPr>
        <w:t>the Comprehensive Remedial Plan.  (</w:t>
      </w:r>
      <w:proofErr w:type="spellStart"/>
      <w:r>
        <w:rPr>
          <w:rFonts w:ascii="Times New Roman" w:eastAsia="Calibri" w:hAnsi="Times New Roman"/>
          <w:snapToGrid/>
        </w:rPr>
        <w:t>Trogden</w:t>
      </w:r>
      <w:proofErr w:type="spellEnd"/>
      <w:r>
        <w:rPr>
          <w:rFonts w:ascii="Times New Roman" w:eastAsia="Calibri" w:hAnsi="Times New Roman"/>
          <w:snapToGrid/>
        </w:rPr>
        <w:t xml:space="preserve"> </w:t>
      </w:r>
      <w:proofErr w:type="spellStart"/>
      <w:r>
        <w:rPr>
          <w:rFonts w:ascii="Times New Roman" w:eastAsia="Calibri" w:hAnsi="Times New Roman"/>
          <w:snapToGrid/>
        </w:rPr>
        <w:t>Aff</w:t>
      </w:r>
      <w:proofErr w:type="spellEnd"/>
      <w:r>
        <w:rPr>
          <w:rFonts w:ascii="Times New Roman" w:eastAsia="Calibri" w:hAnsi="Times New Roman"/>
          <w:snapToGrid/>
        </w:rPr>
        <w:t xml:space="preserve">. ¶¶ 51-54.)  The Court notes that these </w:t>
      </w:r>
      <w:r w:rsidR="008668B4">
        <w:rPr>
          <w:rFonts w:ascii="Times New Roman" w:eastAsia="Calibri" w:hAnsi="Times New Roman"/>
          <w:snapToGrid/>
        </w:rPr>
        <w:t xml:space="preserve">education-related </w:t>
      </w:r>
      <w:r>
        <w:rPr>
          <w:rFonts w:ascii="Times New Roman" w:eastAsia="Calibri" w:hAnsi="Times New Roman"/>
          <w:snapToGrid/>
        </w:rPr>
        <w:t xml:space="preserve">appropriations are significant in terms of dollar value </w:t>
      </w:r>
      <w:r w:rsidR="008668B4">
        <w:rPr>
          <w:rFonts w:ascii="Times New Roman" w:eastAsia="Calibri" w:hAnsi="Times New Roman"/>
          <w:snapToGrid/>
        </w:rPr>
        <w:t>even though they are outside the ambit of the Comprehensive Remedial Plan.</w:t>
      </w:r>
      <w:r>
        <w:rPr>
          <w:rFonts w:ascii="Times New Roman" w:eastAsia="Calibri" w:hAnsi="Times New Roman"/>
          <w:snapToGrid/>
        </w:rPr>
        <w:t xml:space="preserve"> </w:t>
      </w:r>
    </w:p>
    <w:p w:rsidR="00DE59A5" w:rsidRPr="00B2757A" w:rsidRDefault="00DE59A5" w:rsidP="00332742">
      <w:pPr>
        <w:pStyle w:val="ListParagraph"/>
        <w:numPr>
          <w:ilvl w:val="0"/>
          <w:numId w:val="4"/>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 xml:space="preserve">As of the date of this Order, no party has presented evidence showing that the appropriations in the Budget Act are somehow insufficient to comply with the State’s obligation to provide a sound basic education. </w:t>
      </w:r>
    </w:p>
    <w:p w:rsidR="004D0C51" w:rsidRPr="00B2757A" w:rsidRDefault="008E0E9B" w:rsidP="00A3405F">
      <w:pPr>
        <w:pStyle w:val="ListParagraph"/>
        <w:keepNext/>
        <w:numPr>
          <w:ilvl w:val="0"/>
          <w:numId w:val="8"/>
        </w:numPr>
        <w:spacing w:line="480" w:lineRule="auto"/>
        <w:ind w:left="720"/>
        <w:jc w:val="both"/>
        <w:rPr>
          <w:rFonts w:ascii="Times New Roman" w:eastAsia="Calibri" w:hAnsi="Times New Roman"/>
          <w:b/>
          <w:snapToGrid/>
        </w:rPr>
      </w:pPr>
      <w:r w:rsidRPr="00B2757A">
        <w:rPr>
          <w:rFonts w:ascii="Times New Roman" w:eastAsia="Calibri" w:hAnsi="Times New Roman"/>
          <w:b/>
          <w:snapToGrid/>
        </w:rPr>
        <w:t xml:space="preserve">CONCLUSIONS OF LAW </w:t>
      </w:r>
    </w:p>
    <w:p w:rsidR="004D0C51" w:rsidRPr="00B2757A" w:rsidRDefault="004D0C51" w:rsidP="004D0C51">
      <w:pPr>
        <w:pStyle w:val="ListParagraph"/>
        <w:numPr>
          <w:ilvl w:val="0"/>
          <w:numId w:val="7"/>
        </w:numPr>
        <w:spacing w:line="480" w:lineRule="auto"/>
        <w:ind w:left="0" w:firstLine="720"/>
        <w:jc w:val="both"/>
        <w:rPr>
          <w:rFonts w:ascii="Times New Roman" w:eastAsia="Calibri" w:hAnsi="Times New Roman"/>
          <w:snapToGrid/>
        </w:rPr>
      </w:pPr>
      <w:r w:rsidRPr="00B2757A">
        <w:rPr>
          <w:rFonts w:ascii="Times New Roman" w:eastAsia="Calibri" w:hAnsi="Times New Roman"/>
          <w:snapToGrid/>
        </w:rPr>
        <w:t>The State of North Carolina is constitutionally obligated to provide its citizens the opportunity for a sound basic educati</w:t>
      </w:r>
      <w:r w:rsidR="00DE59A5" w:rsidRPr="00B2757A">
        <w:rPr>
          <w:rFonts w:ascii="Times New Roman" w:eastAsia="Calibri" w:hAnsi="Times New Roman"/>
          <w:snapToGrid/>
        </w:rPr>
        <w:t xml:space="preserve">on.  The Supreme Court has defined a sound basic education as </w:t>
      </w:r>
    </w:p>
    <w:p w:rsidR="004D0C51" w:rsidRPr="00B2757A" w:rsidRDefault="004D0C51" w:rsidP="004D0C51">
      <w:pPr>
        <w:pStyle w:val="ListParagraph"/>
        <w:ind w:right="720"/>
        <w:jc w:val="both"/>
        <w:rPr>
          <w:rFonts w:ascii="Times New Roman" w:eastAsia="Calibri" w:hAnsi="Times New Roman"/>
          <w:snapToGrid/>
        </w:rPr>
      </w:pPr>
      <w:r w:rsidRPr="00B2757A">
        <w:rPr>
          <w:rFonts w:ascii="Times New Roman" w:eastAsia="Calibri" w:hAnsi="Times New Roman"/>
          <w:snapToGrid/>
        </w:rPr>
        <w:t xml:space="preserve">one that will provide the student with at least: (1) sufficient ability to read, write, and speak the English language and a sufficient knowledge of fundamental mathematics and physical science to enable the student to function in a complex and rapidly changing society; (2) sufficient fundamental knowledge of geography, history, and basic economic and political systems to enable the student to make informed choices with regard to issues that affect the student personally or affect the student's community, state, and nation; (3) sufficient academic and vocational skills to enable the student to successfully engage in post-secondary education or vocational training; and (4) sufficient academic and vocational skills to enable the student to compete on an equal basis with others in further formal education or gainful employment in contemporary society.”  </w:t>
      </w:r>
    </w:p>
    <w:p w:rsidR="004D0C51" w:rsidRPr="00B2757A" w:rsidRDefault="004D0C51" w:rsidP="004D0C51">
      <w:pPr>
        <w:ind w:right="720"/>
        <w:jc w:val="both"/>
        <w:rPr>
          <w:rFonts w:ascii="Times New Roman" w:eastAsia="Calibri" w:hAnsi="Times New Roman"/>
          <w:i/>
          <w:snapToGrid/>
        </w:rPr>
      </w:pPr>
    </w:p>
    <w:p w:rsidR="00CF1BF3" w:rsidRPr="00B2757A" w:rsidRDefault="004D0C51" w:rsidP="00093BCA">
      <w:pPr>
        <w:spacing w:line="480" w:lineRule="auto"/>
        <w:ind w:right="720"/>
        <w:contextualSpacing/>
        <w:jc w:val="both"/>
        <w:rPr>
          <w:rFonts w:ascii="Times New Roman" w:eastAsia="Calibri" w:hAnsi="Times New Roman"/>
          <w:snapToGrid/>
        </w:rPr>
      </w:pPr>
      <w:r w:rsidRPr="00B2757A">
        <w:rPr>
          <w:rFonts w:ascii="Times New Roman" w:eastAsia="Calibri" w:hAnsi="Times New Roman"/>
          <w:i/>
          <w:snapToGrid/>
        </w:rPr>
        <w:lastRenderedPageBreak/>
        <w:t>Leandro v. State</w:t>
      </w:r>
      <w:r w:rsidRPr="00B2757A">
        <w:rPr>
          <w:rFonts w:ascii="Times New Roman" w:eastAsia="Calibri" w:hAnsi="Times New Roman"/>
          <w:snapToGrid/>
        </w:rPr>
        <w:t>, 346 N.C. 336, 347, 488 S.E.2d 249, 255 (1997) (“</w:t>
      </w:r>
      <w:r w:rsidRPr="00B2757A">
        <w:rPr>
          <w:rFonts w:ascii="Times New Roman" w:eastAsia="Calibri" w:hAnsi="Times New Roman"/>
          <w:i/>
          <w:snapToGrid/>
        </w:rPr>
        <w:t>Leandro</w:t>
      </w:r>
      <w:r w:rsidRPr="00B2757A">
        <w:rPr>
          <w:rFonts w:ascii="Times New Roman" w:eastAsia="Calibri" w:hAnsi="Times New Roman"/>
          <w:snapToGrid/>
        </w:rPr>
        <w:t xml:space="preserve"> </w:t>
      </w:r>
      <w:r w:rsidRPr="00B2757A">
        <w:rPr>
          <w:rFonts w:ascii="Times New Roman" w:eastAsia="Calibri" w:hAnsi="Times New Roman"/>
          <w:i/>
          <w:snapToGrid/>
        </w:rPr>
        <w:t>I</w:t>
      </w:r>
      <w:r w:rsidRPr="00B2757A">
        <w:rPr>
          <w:rFonts w:ascii="Times New Roman" w:eastAsia="Calibri" w:hAnsi="Times New Roman"/>
          <w:snapToGrid/>
        </w:rPr>
        <w:t xml:space="preserve">”). </w:t>
      </w:r>
    </w:p>
    <w:p w:rsidR="00E55503" w:rsidRPr="00B2757A" w:rsidRDefault="00E55503" w:rsidP="00E839B2">
      <w:pPr>
        <w:pStyle w:val="ListParagraph"/>
        <w:numPr>
          <w:ilvl w:val="0"/>
          <w:numId w:val="7"/>
        </w:numPr>
        <w:spacing w:line="480" w:lineRule="auto"/>
        <w:ind w:left="0" w:firstLine="720"/>
        <w:jc w:val="both"/>
        <w:rPr>
          <w:rFonts w:ascii="Times New Roman" w:eastAsia="Calibri" w:hAnsi="Times New Roman"/>
          <w:snapToGrid/>
        </w:rPr>
      </w:pPr>
      <w:r w:rsidRPr="00B2757A">
        <w:rPr>
          <w:rFonts w:ascii="Times New Roman" w:hAnsi="Times New Roman"/>
        </w:rPr>
        <w:t xml:space="preserve">In the </w:t>
      </w:r>
      <w:r w:rsidR="007F0A9F" w:rsidRPr="00B2757A">
        <w:rPr>
          <w:rFonts w:ascii="Times New Roman" w:hAnsi="Times New Roman"/>
        </w:rPr>
        <w:t xml:space="preserve">10 </w:t>
      </w:r>
      <w:r w:rsidRPr="00B2757A">
        <w:rPr>
          <w:rFonts w:ascii="Times New Roman" w:hAnsi="Times New Roman"/>
        </w:rPr>
        <w:t>November Order, the Court posited that judicial action was necessary to appropriate funds for education because “as of the date of [that] Order, no budget ha[d] passed.”  (</w:t>
      </w:r>
      <w:r w:rsidR="00E839B2" w:rsidRPr="00B2757A">
        <w:rPr>
          <w:rFonts w:ascii="Times New Roman" w:hAnsi="Times New Roman"/>
        </w:rPr>
        <w:t xml:space="preserve">10 </w:t>
      </w:r>
      <w:r w:rsidR="00B91687">
        <w:rPr>
          <w:rFonts w:ascii="Times New Roman" w:hAnsi="Times New Roman"/>
        </w:rPr>
        <w:t>November Order at 11.)</w:t>
      </w:r>
      <w:r w:rsidRPr="00B2757A">
        <w:rPr>
          <w:rFonts w:ascii="Times New Roman" w:hAnsi="Times New Roman"/>
        </w:rPr>
        <w:t xml:space="preserve">  </w:t>
      </w:r>
      <w:proofErr w:type="gramStart"/>
      <w:r w:rsidR="00E839B2" w:rsidRPr="00B2757A">
        <w:rPr>
          <w:rFonts w:ascii="Times New Roman" w:hAnsi="Times New Roman"/>
        </w:rPr>
        <w:t>Indeed</w:t>
      </w:r>
      <w:proofErr w:type="gramEnd"/>
      <w:r w:rsidR="00E839B2" w:rsidRPr="00B2757A">
        <w:rPr>
          <w:rFonts w:ascii="Times New Roman" w:hAnsi="Times New Roman"/>
        </w:rPr>
        <w:t>, the Court made</w:t>
      </w:r>
      <w:r w:rsidRPr="00B2757A">
        <w:rPr>
          <w:rFonts w:ascii="Times New Roman" w:hAnsi="Times New Roman"/>
        </w:rPr>
        <w:t xml:space="preserve"> </w:t>
      </w:r>
      <w:r w:rsidR="00E839B2" w:rsidRPr="00B2757A">
        <w:rPr>
          <w:rFonts w:ascii="Times New Roman" w:hAnsi="Times New Roman"/>
        </w:rPr>
        <w:t>clear</w:t>
      </w:r>
      <w:r w:rsidR="00CF1BF3" w:rsidRPr="00B2757A">
        <w:rPr>
          <w:rFonts w:ascii="Times New Roman" w:hAnsi="Times New Roman"/>
        </w:rPr>
        <w:t xml:space="preserve"> that legislative inaction was a </w:t>
      </w:r>
      <w:r w:rsidRPr="00B2757A">
        <w:rPr>
          <w:rFonts w:ascii="Times New Roman" w:hAnsi="Times New Roman"/>
        </w:rPr>
        <w:t>prerequisite</w:t>
      </w:r>
      <w:r w:rsidR="00CF1BF3" w:rsidRPr="00B2757A">
        <w:rPr>
          <w:rFonts w:ascii="Times New Roman" w:hAnsi="Times New Roman"/>
        </w:rPr>
        <w:t xml:space="preserve"> to what it believed was its authority to </w:t>
      </w:r>
      <w:r w:rsidRPr="00B2757A">
        <w:rPr>
          <w:rFonts w:ascii="Times New Roman" w:hAnsi="Times New Roman"/>
        </w:rPr>
        <w:t>inherent power to order funding for constitutionally mandated institutions:</w:t>
      </w:r>
    </w:p>
    <w:p w:rsidR="00E55503" w:rsidRPr="00B2757A" w:rsidRDefault="00E55503" w:rsidP="00E55503">
      <w:pPr>
        <w:ind w:left="720" w:right="720"/>
        <w:contextualSpacing/>
        <w:jc w:val="both"/>
        <w:rPr>
          <w:rFonts w:ascii="Times New Roman" w:hAnsi="Times New Roman"/>
        </w:rPr>
      </w:pPr>
      <w:r w:rsidRPr="00B2757A">
        <w:rPr>
          <w:rFonts w:ascii="Times New Roman" w:hAnsi="Times New Roman"/>
        </w:rPr>
        <w:t>‘</w:t>
      </w:r>
      <w:r w:rsidRPr="00B2757A">
        <w:rPr>
          <w:rFonts w:ascii="Times New Roman" w:hAnsi="Times New Roman"/>
          <w:b/>
          <w:i/>
        </w:rPr>
        <w:t>When</w:t>
      </w:r>
      <w:r w:rsidRPr="00B2757A">
        <w:rPr>
          <w:rFonts w:ascii="Times New Roman" w:hAnsi="Times New Roman"/>
        </w:rPr>
        <w:t xml:space="preserve"> </w:t>
      </w:r>
      <w:r w:rsidRPr="00B2757A">
        <w:rPr>
          <w:rFonts w:ascii="Times New Roman" w:hAnsi="Times New Roman"/>
          <w:b/>
          <w:i/>
        </w:rPr>
        <w:t>inaction by those exercising authority</w:t>
      </w:r>
      <w:r w:rsidRPr="00B2757A">
        <w:rPr>
          <w:rFonts w:ascii="Times New Roman" w:hAnsi="Times New Roman"/>
        </w:rPr>
        <w:t xml:space="preserve"> threatens fiscally to undermine’ the constitutional right to a sound basic education ‘</w:t>
      </w:r>
      <w:r w:rsidRPr="00B2757A">
        <w:rPr>
          <w:rFonts w:ascii="Times New Roman" w:hAnsi="Times New Roman"/>
          <w:b/>
          <w:i/>
        </w:rPr>
        <w:t>a court may invoke its inherent power</w:t>
      </w:r>
      <w:r w:rsidRPr="00B2757A">
        <w:rPr>
          <w:rFonts w:ascii="Times New Roman" w:hAnsi="Times New Roman"/>
        </w:rPr>
        <w:t xml:space="preserve"> to do what is reasonably necessary for the orderly and efficient exercise of the administration of justice.’</w:t>
      </w:r>
    </w:p>
    <w:p w:rsidR="00E55503" w:rsidRPr="00B2757A" w:rsidRDefault="00E55503" w:rsidP="00E55503">
      <w:pPr>
        <w:contextualSpacing/>
        <w:jc w:val="both"/>
        <w:rPr>
          <w:rFonts w:ascii="Times New Roman" w:hAnsi="Times New Roman"/>
        </w:rPr>
      </w:pPr>
    </w:p>
    <w:p w:rsidR="00195860" w:rsidRPr="00B2757A" w:rsidRDefault="00E55503" w:rsidP="00195860">
      <w:pPr>
        <w:spacing w:line="480" w:lineRule="auto"/>
        <w:jc w:val="both"/>
        <w:rPr>
          <w:rFonts w:ascii="Times New Roman" w:hAnsi="Times New Roman"/>
        </w:rPr>
      </w:pPr>
      <w:r w:rsidRPr="00B2757A">
        <w:rPr>
          <w:rFonts w:ascii="Times New Roman" w:hAnsi="Times New Roman"/>
        </w:rPr>
        <w:t>(November Order at 13</w:t>
      </w:r>
      <w:r w:rsidR="00B91687">
        <w:rPr>
          <w:rFonts w:ascii="Times New Roman" w:hAnsi="Times New Roman"/>
        </w:rPr>
        <w:t>.)</w:t>
      </w:r>
      <w:r w:rsidRPr="00B2757A">
        <w:rPr>
          <w:rStyle w:val="FootnoteReference"/>
          <w:rFonts w:ascii="Times New Roman" w:hAnsi="Times New Roman"/>
        </w:rPr>
        <w:footnoteReference w:id="2"/>
      </w:r>
      <w:r w:rsidRPr="00B2757A">
        <w:rPr>
          <w:rFonts w:ascii="Times New Roman" w:hAnsi="Times New Roman"/>
        </w:rPr>
        <w:t xml:space="preserve">  </w:t>
      </w:r>
    </w:p>
    <w:p w:rsidR="000002F3" w:rsidRPr="00B2757A" w:rsidRDefault="00E839B2" w:rsidP="00195860">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However, </w:t>
      </w:r>
      <w:r w:rsidR="00CF1BF3" w:rsidRPr="00B2757A">
        <w:rPr>
          <w:rFonts w:ascii="Times New Roman" w:hAnsi="Times New Roman"/>
        </w:rPr>
        <w:t xml:space="preserve">as the court also observed in the 10 November Order, </w:t>
      </w:r>
      <w:r w:rsidR="00195860" w:rsidRPr="00B2757A">
        <w:rPr>
          <w:rFonts w:ascii="Times New Roman" w:hAnsi="Times New Roman"/>
        </w:rPr>
        <w:t xml:space="preserve">when the </w:t>
      </w:r>
      <w:r w:rsidRPr="00B2757A">
        <w:rPr>
          <w:rFonts w:ascii="Times New Roman" w:hAnsi="Times New Roman"/>
        </w:rPr>
        <w:t>legislature fulfills its constitutional duty</w:t>
      </w:r>
      <w:r w:rsidR="00195860" w:rsidRPr="00B2757A">
        <w:rPr>
          <w:rFonts w:ascii="Times New Roman" w:hAnsi="Times New Roman"/>
        </w:rPr>
        <w:t xml:space="preserve"> by passing a budget</w:t>
      </w:r>
      <w:r w:rsidRPr="00B2757A">
        <w:rPr>
          <w:rFonts w:ascii="Times New Roman" w:hAnsi="Times New Roman"/>
        </w:rPr>
        <w:t xml:space="preserve"> through the statutory budget process</w:t>
      </w:r>
      <w:r w:rsidR="00195860" w:rsidRPr="00B2757A">
        <w:rPr>
          <w:rFonts w:ascii="Times New Roman" w:hAnsi="Times New Roman"/>
        </w:rPr>
        <w:t>, “</w:t>
      </w:r>
      <w:r w:rsidR="00E55503" w:rsidRPr="00B2757A">
        <w:rPr>
          <w:rFonts w:ascii="Times New Roman" w:hAnsi="Times New Roman"/>
        </w:rPr>
        <w:t>there is no need for judicial intervention to effectuate the constitutional right.”  (</w:t>
      </w:r>
      <w:r w:rsidR="00E55503" w:rsidRPr="00B2757A">
        <w:rPr>
          <w:rFonts w:ascii="Times New Roman" w:hAnsi="Times New Roman"/>
          <w:i/>
        </w:rPr>
        <w:t>Id.</w:t>
      </w:r>
      <w:r w:rsidR="00B91687">
        <w:rPr>
          <w:rFonts w:ascii="Times New Roman" w:hAnsi="Times New Roman"/>
        </w:rPr>
        <w:t xml:space="preserve"> at 16.)</w:t>
      </w:r>
      <w:r w:rsidR="00E55503" w:rsidRPr="00B2757A">
        <w:rPr>
          <w:rFonts w:ascii="Times New Roman" w:hAnsi="Times New Roman"/>
        </w:rPr>
        <w:t xml:space="preserve">  </w:t>
      </w:r>
      <w:proofErr w:type="gramStart"/>
      <w:r w:rsidR="00195860" w:rsidRPr="00B2757A">
        <w:rPr>
          <w:rFonts w:ascii="Times New Roman" w:hAnsi="Times New Roman"/>
        </w:rPr>
        <w:t>Thus</w:t>
      </w:r>
      <w:proofErr w:type="gramEnd"/>
      <w:r w:rsidR="00195860" w:rsidRPr="00B2757A">
        <w:rPr>
          <w:rFonts w:ascii="Times New Roman" w:hAnsi="Times New Roman"/>
        </w:rPr>
        <w:t>, as the Court’s</w:t>
      </w:r>
      <w:r w:rsidR="00E55503" w:rsidRPr="00B2757A">
        <w:rPr>
          <w:rFonts w:ascii="Times New Roman" w:hAnsi="Times New Roman"/>
        </w:rPr>
        <w:t xml:space="preserve"> </w:t>
      </w:r>
      <w:r w:rsidR="00195860" w:rsidRPr="00B2757A">
        <w:rPr>
          <w:rFonts w:ascii="Times New Roman" w:hAnsi="Times New Roman"/>
        </w:rPr>
        <w:t>10</w:t>
      </w:r>
      <w:r w:rsidR="00E55503" w:rsidRPr="00B2757A">
        <w:rPr>
          <w:rFonts w:ascii="Times New Roman" w:hAnsi="Times New Roman"/>
        </w:rPr>
        <w:t xml:space="preserve"> November Order </w:t>
      </w:r>
      <w:r w:rsidR="00195860" w:rsidRPr="00B2757A">
        <w:rPr>
          <w:rFonts w:ascii="Times New Roman" w:hAnsi="Times New Roman"/>
        </w:rPr>
        <w:t>emphasized</w:t>
      </w:r>
      <w:r w:rsidR="00E55503" w:rsidRPr="00B2757A">
        <w:rPr>
          <w:rFonts w:ascii="Times New Roman" w:hAnsi="Times New Roman"/>
        </w:rPr>
        <w:t xml:space="preserve">, this Court no longer has the legal authority to act where the legislative branch has passed a budget.  </w:t>
      </w:r>
    </w:p>
    <w:p w:rsidR="000002F3" w:rsidRPr="00B2757A" w:rsidRDefault="000002F3" w:rsidP="00924BA2">
      <w:pPr>
        <w:pStyle w:val="ListParagraph"/>
        <w:numPr>
          <w:ilvl w:val="0"/>
          <w:numId w:val="7"/>
        </w:numPr>
        <w:spacing w:line="480" w:lineRule="auto"/>
        <w:ind w:left="0" w:firstLine="720"/>
        <w:rPr>
          <w:rFonts w:ascii="Times New Roman" w:hAnsi="Times New Roman"/>
        </w:rPr>
      </w:pPr>
      <w:r w:rsidRPr="00B2757A">
        <w:rPr>
          <w:rFonts w:ascii="Times New Roman" w:hAnsi="Times New Roman"/>
        </w:rPr>
        <w:lastRenderedPageBreak/>
        <w:t>The Court’s November Order thus sought to remedy a circumstance—</w:t>
      </w:r>
      <w:r w:rsidRPr="00B2757A">
        <w:rPr>
          <w:rFonts w:ascii="Times New Roman" w:hAnsi="Times New Roman"/>
          <w:i/>
        </w:rPr>
        <w:t>i.e</w:t>
      </w:r>
      <w:r w:rsidRPr="00B2757A">
        <w:rPr>
          <w:rFonts w:ascii="Times New Roman" w:hAnsi="Times New Roman"/>
        </w:rPr>
        <w:t xml:space="preserve">., the absence of a budget and alleged “inaction” by the General Assembly—that no longer exists.  </w:t>
      </w:r>
    </w:p>
    <w:p w:rsidR="00195860" w:rsidRPr="00B2757A" w:rsidRDefault="00195860" w:rsidP="000002F3">
      <w:pPr>
        <w:spacing w:line="480" w:lineRule="auto"/>
        <w:jc w:val="both"/>
        <w:rPr>
          <w:rFonts w:ascii="Times New Roman" w:hAnsi="Times New Roman"/>
        </w:rPr>
      </w:pPr>
      <w:r w:rsidRPr="00B2757A">
        <w:rPr>
          <w:rFonts w:ascii="Times New Roman" w:hAnsi="Times New Roman"/>
        </w:rPr>
        <w:t>Consequently</w:t>
      </w:r>
      <w:r w:rsidR="00DB30F8" w:rsidRPr="00B2757A">
        <w:rPr>
          <w:rFonts w:ascii="Times New Roman" w:hAnsi="Times New Roman"/>
        </w:rPr>
        <w:t xml:space="preserve">, the </w:t>
      </w:r>
      <w:r w:rsidR="008E0E9B" w:rsidRPr="00B2757A">
        <w:rPr>
          <w:rFonts w:ascii="Times New Roman" w:hAnsi="Times New Roman"/>
        </w:rPr>
        <w:t xml:space="preserve">10 </w:t>
      </w:r>
      <w:r w:rsidR="00DB30F8" w:rsidRPr="00B2757A">
        <w:rPr>
          <w:rFonts w:ascii="Times New Roman" w:hAnsi="Times New Roman"/>
        </w:rPr>
        <w:t>November Order</w:t>
      </w:r>
      <w:r w:rsidR="00E55503" w:rsidRPr="00B2757A">
        <w:rPr>
          <w:rFonts w:ascii="Times New Roman" w:hAnsi="Times New Roman"/>
        </w:rPr>
        <w:t xml:space="preserve"> </w:t>
      </w:r>
      <w:r w:rsidR="008E0E9B" w:rsidRPr="00B2757A">
        <w:rPr>
          <w:rFonts w:ascii="Times New Roman" w:hAnsi="Times New Roman"/>
        </w:rPr>
        <w:t xml:space="preserve">is </w:t>
      </w:r>
      <w:r w:rsidR="00CF1BF3" w:rsidRPr="00B2757A">
        <w:rPr>
          <w:rFonts w:ascii="Times New Roman" w:hAnsi="Times New Roman"/>
        </w:rPr>
        <w:t xml:space="preserve">superseded and </w:t>
      </w:r>
      <w:r w:rsidR="008E0E9B" w:rsidRPr="00B2757A">
        <w:rPr>
          <w:rFonts w:ascii="Times New Roman" w:hAnsi="Times New Roman"/>
        </w:rPr>
        <w:t xml:space="preserve">nullified by the passage of the Budget Act and </w:t>
      </w:r>
      <w:r w:rsidR="00E55503" w:rsidRPr="00B2757A">
        <w:rPr>
          <w:rFonts w:ascii="Times New Roman" w:hAnsi="Times New Roman"/>
        </w:rPr>
        <w:t>must be vacated.</w:t>
      </w:r>
    </w:p>
    <w:p w:rsidR="00195860" w:rsidRPr="00B2757A" w:rsidRDefault="00E55503" w:rsidP="00195860">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Importantly, this Court has conducted an independent analysis of the law, considering that the issues were somewhat different prior to passage of the budget.  In doing so, this Court has confirmed that in the face of a budget passed by the legislature and signed by the Governor, the judiciary is without power to </w:t>
      </w:r>
      <w:r w:rsidR="00CF1BF3" w:rsidRPr="00B2757A">
        <w:rPr>
          <w:rFonts w:ascii="Times New Roman" w:hAnsi="Times New Roman"/>
        </w:rPr>
        <w:t xml:space="preserve">order the transfer of funds from the Treasury, even if to remedy an alleged constitutional violation. </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As recently as 2020, the Supreme Court held that “the power of the purse is the exclusive prerogative of the General Assembly.”  </w:t>
      </w:r>
      <w:r w:rsidRPr="00B2757A">
        <w:rPr>
          <w:rFonts w:ascii="Times New Roman" w:hAnsi="Times New Roman"/>
          <w:i/>
        </w:rPr>
        <w:t>Cooper v. Berger</w:t>
      </w:r>
      <w:r w:rsidRPr="00B2757A">
        <w:rPr>
          <w:rFonts w:ascii="Times New Roman" w:hAnsi="Times New Roman"/>
        </w:rPr>
        <w:t xml:space="preserve">, 376 N.C. 22, 37, 852 S.E.2d 46, 58 (2020) (Ervin, J.) (quoting John V. Orth &amp; Paul Martin Newby, </w:t>
      </w:r>
      <w:r w:rsidRPr="00B2757A">
        <w:rPr>
          <w:rFonts w:ascii="Times New Roman" w:hAnsi="Times New Roman"/>
          <w:i/>
        </w:rPr>
        <w:t>The North Carolina State Constitution</w:t>
      </w:r>
      <w:r w:rsidRPr="00B2757A">
        <w:rPr>
          <w:rFonts w:ascii="Times New Roman" w:hAnsi="Times New Roman"/>
        </w:rPr>
        <w:t xml:space="preserve">, 154 (2d Ed. 2013) (Orth)).  </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The Appropriations Clause of our State Constitution, N.C. </w:t>
      </w:r>
      <w:r w:rsidRPr="00B91687">
        <w:rPr>
          <w:rFonts w:ascii="Times New Roman" w:hAnsi="Times New Roman"/>
          <w:smallCaps/>
        </w:rPr>
        <w:t>Const.</w:t>
      </w:r>
      <w:r w:rsidR="00B91687">
        <w:rPr>
          <w:rFonts w:ascii="Times New Roman" w:hAnsi="Times New Roman"/>
        </w:rPr>
        <w:t xml:space="preserve"> a</w:t>
      </w:r>
      <w:r w:rsidRPr="00B2757A">
        <w:rPr>
          <w:rFonts w:ascii="Times New Roman" w:hAnsi="Times New Roman"/>
        </w:rPr>
        <w:t xml:space="preserve">rt. V, </w:t>
      </w:r>
      <w:r w:rsidR="00B91687">
        <w:rPr>
          <w:rFonts w:ascii="Times New Roman" w:hAnsi="Times New Roman"/>
        </w:rPr>
        <w:t xml:space="preserve">§ </w:t>
      </w:r>
      <w:r w:rsidRPr="00B2757A">
        <w:rPr>
          <w:rFonts w:ascii="Times New Roman" w:hAnsi="Times New Roman"/>
        </w:rPr>
        <w:t xml:space="preserve">7(1), ‘states in language that no man can misunderstand that the legislative power is supreme over the public purse.’”  </w:t>
      </w:r>
      <w:r w:rsidRPr="00B2757A">
        <w:rPr>
          <w:rFonts w:ascii="Times New Roman" w:hAnsi="Times New Roman"/>
          <w:i/>
        </w:rPr>
        <w:t>Cooper</w:t>
      </w:r>
      <w:r w:rsidRPr="00B2757A">
        <w:rPr>
          <w:rFonts w:ascii="Times New Roman" w:hAnsi="Times New Roman"/>
        </w:rPr>
        <w:t xml:space="preserve">, 376 N.C. at 37, 852 S.E.2d at 58 (quoting </w:t>
      </w:r>
      <w:r w:rsidRPr="00B2757A">
        <w:rPr>
          <w:rFonts w:ascii="Times New Roman" w:hAnsi="Times New Roman"/>
          <w:i/>
        </w:rPr>
        <w:t>North Carolina v. Davis</w:t>
      </w:r>
      <w:r w:rsidRPr="00B2757A">
        <w:rPr>
          <w:rFonts w:ascii="Times New Roman" w:hAnsi="Times New Roman"/>
        </w:rPr>
        <w:t xml:space="preserve">, 270 N.C. 1, 14, 153 S.E.2d 749, 758 (1967)).  </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As a result, “the money in the Treasury is within the exclusive control of the General Assembly.  No court can undertake to administer it.”  </w:t>
      </w:r>
      <w:r w:rsidRPr="00B2757A">
        <w:rPr>
          <w:rFonts w:ascii="Times New Roman" w:hAnsi="Times New Roman"/>
          <w:i/>
        </w:rPr>
        <w:t>Shaffer v. Jenkins</w:t>
      </w:r>
      <w:r w:rsidRPr="00B2757A">
        <w:rPr>
          <w:rFonts w:ascii="Times New Roman" w:hAnsi="Times New Roman"/>
        </w:rPr>
        <w:t xml:space="preserve">, 72 N.C. 275 (1875); </w:t>
      </w:r>
      <w:r w:rsidRPr="00B2757A">
        <w:rPr>
          <w:rFonts w:ascii="Times New Roman" w:hAnsi="Times New Roman"/>
          <w:i/>
        </w:rPr>
        <w:t>see also Wilson v. Jenkins</w:t>
      </w:r>
      <w:r w:rsidRPr="00B2757A">
        <w:rPr>
          <w:rFonts w:ascii="Times New Roman" w:hAnsi="Times New Roman"/>
        </w:rPr>
        <w:t xml:space="preserve">, 72 N.C. 5 (1875) (“The General Assembly has absolute control over the finances of the State.”).  </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lastRenderedPageBreak/>
        <w:t xml:space="preserve">In other words, the judicial branch “lack[s] the authority to ‘order state officials to draw money from the State treasury.”  </w:t>
      </w:r>
      <w:r w:rsidRPr="00B2757A">
        <w:rPr>
          <w:rFonts w:ascii="Times New Roman" w:hAnsi="Times New Roman"/>
          <w:i/>
        </w:rPr>
        <w:t>Id.</w:t>
      </w:r>
      <w:r w:rsidRPr="00B2757A">
        <w:rPr>
          <w:rFonts w:ascii="Times New Roman" w:hAnsi="Times New Roman"/>
        </w:rPr>
        <w:t xml:space="preserve"> at 47, 852 S.E.2d at 64 (quoting </w:t>
      </w:r>
      <w:r w:rsidRPr="00B2757A">
        <w:rPr>
          <w:rFonts w:ascii="Times New Roman" w:hAnsi="Times New Roman"/>
          <w:i/>
        </w:rPr>
        <w:t xml:space="preserve">Richmond </w:t>
      </w:r>
      <w:proofErr w:type="spellStart"/>
      <w:r w:rsidRPr="00B2757A">
        <w:rPr>
          <w:rFonts w:ascii="Times New Roman" w:hAnsi="Times New Roman"/>
          <w:i/>
        </w:rPr>
        <w:t>Cty</w:t>
      </w:r>
      <w:proofErr w:type="spellEnd"/>
      <w:r w:rsidRPr="00B2757A">
        <w:rPr>
          <w:rFonts w:ascii="Times New Roman" w:hAnsi="Times New Roman"/>
          <w:i/>
        </w:rPr>
        <w:t>. Bd. of Educ. v. Cowell</w:t>
      </w:r>
      <w:r w:rsidRPr="00B2757A">
        <w:rPr>
          <w:rFonts w:ascii="Times New Roman" w:hAnsi="Times New Roman"/>
        </w:rPr>
        <w:t xml:space="preserve">, 254 N.C. app. 422, 423, 803 S.E.2d 27, 29 (2017)).  </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The reason the judiciary is without power to act when the legislature has made the decision is because “[o]</w:t>
      </w:r>
      <w:proofErr w:type="spellStart"/>
      <w:r w:rsidRPr="00B2757A">
        <w:rPr>
          <w:rFonts w:ascii="Times New Roman" w:hAnsi="Times New Roman"/>
        </w:rPr>
        <w:t>ur</w:t>
      </w:r>
      <w:proofErr w:type="spellEnd"/>
      <w:r w:rsidRPr="00B2757A">
        <w:rPr>
          <w:rFonts w:ascii="Times New Roman" w:hAnsi="Times New Roman"/>
        </w:rPr>
        <w:t xml:space="preserve"> founders believed that separating the legislative, executive, and judicial powers of state government was necessary for the preservation of liberty.” </w:t>
      </w:r>
      <w:r w:rsidRPr="00B2757A">
        <w:rPr>
          <w:rFonts w:ascii="Times New Roman" w:hAnsi="Times New Roman"/>
          <w:i/>
        </w:rPr>
        <w:t>North Carolina v. Berger</w:t>
      </w:r>
      <w:r w:rsidRPr="00B2757A">
        <w:rPr>
          <w:rFonts w:ascii="Times New Roman" w:hAnsi="Times New Roman"/>
        </w:rPr>
        <w:t xml:space="preserve">, 368 N.C. 633, 635, 781 S.E.2d 248, 250 (2016) (Newby, J.); </w:t>
      </w:r>
      <w:r w:rsidRPr="00B2757A">
        <w:rPr>
          <w:rFonts w:ascii="Times New Roman" w:hAnsi="Times New Roman"/>
          <w:i/>
        </w:rPr>
        <w:t>Cooper</w:t>
      </w:r>
      <w:r w:rsidRPr="00B2757A">
        <w:rPr>
          <w:rFonts w:ascii="Times New Roman" w:hAnsi="Times New Roman"/>
        </w:rPr>
        <w:t xml:space="preserve">, 376 N.C. at 37, 852 S.E.2d at 59 (“In drafting the appropriations clause, the framers sought to ensure that the people, through their elected representatives in the General Assembly, had full and exclusive control over the allocation of the state’s expenditures.”) (Ervin, J.).  Therefore, under the doctrine of separation of powers, “[t]he General Assembly has absolute control over the finances of the State.”  </w:t>
      </w:r>
      <w:r w:rsidRPr="00B2757A">
        <w:rPr>
          <w:rFonts w:ascii="Times New Roman" w:hAnsi="Times New Roman"/>
          <w:i/>
        </w:rPr>
        <w:t>Wilson v. Jenkins</w:t>
      </w:r>
      <w:r w:rsidRPr="00B2757A">
        <w:rPr>
          <w:rFonts w:ascii="Times New Roman" w:hAnsi="Times New Roman"/>
        </w:rPr>
        <w:t xml:space="preserve">, 72 N.C. 5 (1875); </w:t>
      </w:r>
      <w:r w:rsidRPr="00B2757A">
        <w:rPr>
          <w:rFonts w:ascii="Times New Roman" w:hAnsi="Times New Roman"/>
          <w:i/>
        </w:rPr>
        <w:t>Cooper v. Berger</w:t>
      </w:r>
      <w:r w:rsidRPr="00B2757A">
        <w:rPr>
          <w:rFonts w:ascii="Times New Roman" w:hAnsi="Times New Roman"/>
        </w:rPr>
        <w:t xml:space="preserve">, 376 N.C. at 46, 852 S.E.2d at 64 (“[T]he North Carolina State Constitution provides that the appropriation authority lies with the General Assembly.”).  </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In fact, the very issues before this Court were previously addressed in </w:t>
      </w:r>
      <w:r w:rsidRPr="00B2757A">
        <w:rPr>
          <w:rFonts w:ascii="Times New Roman" w:hAnsi="Times New Roman"/>
          <w:i/>
        </w:rPr>
        <w:t>Richmond County Bd. of Educ. v. Cowell</w:t>
      </w:r>
      <w:r w:rsidRPr="00B2757A">
        <w:rPr>
          <w:rFonts w:ascii="Times New Roman" w:hAnsi="Times New Roman"/>
        </w:rPr>
        <w:t xml:space="preserve">, 254 N.C. App. 422, 803 S.E.2d 27 (2017), a case that has been cited by the Supreme Court.  As characterized by the Supreme Court, in </w:t>
      </w:r>
      <w:r w:rsidRPr="00B2757A">
        <w:rPr>
          <w:rFonts w:ascii="Times New Roman" w:hAnsi="Times New Roman"/>
          <w:i/>
        </w:rPr>
        <w:t>Richmond County</w:t>
      </w:r>
      <w:r w:rsidRPr="00B2757A">
        <w:rPr>
          <w:rFonts w:ascii="Times New Roman" w:hAnsi="Times New Roman"/>
        </w:rPr>
        <w:t xml:space="preserve">, “the Court of Appeals stated that ‘appropriating money from the State treasury is a power vested exclusively in the legislative branch’ and that the judicial branch lacked the authority to ‘order State officials to draw money from the State treasury.’”  </w:t>
      </w:r>
      <w:r w:rsidRPr="00B2757A">
        <w:rPr>
          <w:rFonts w:ascii="Times New Roman" w:hAnsi="Times New Roman"/>
          <w:i/>
        </w:rPr>
        <w:t>Cooper</w:t>
      </w:r>
      <w:r w:rsidRPr="00B2757A">
        <w:rPr>
          <w:rFonts w:ascii="Times New Roman" w:hAnsi="Times New Roman"/>
        </w:rPr>
        <w:t>, 376 N.C. at 47, 852 S.E.2d at 64.  Therefore, relying on Supreme Court precedent, that case found that while this Court can find a constitutional violation—which it has done—it cannot order the transfer of funds:</w:t>
      </w:r>
    </w:p>
    <w:p w:rsidR="000002F3" w:rsidRPr="00B2757A" w:rsidRDefault="000002F3" w:rsidP="000002F3">
      <w:pPr>
        <w:ind w:left="720" w:right="720"/>
        <w:contextualSpacing/>
        <w:jc w:val="both"/>
        <w:rPr>
          <w:rFonts w:ascii="Times New Roman" w:hAnsi="Times New Roman"/>
        </w:rPr>
      </w:pPr>
      <w:r w:rsidRPr="00B2757A">
        <w:rPr>
          <w:rFonts w:ascii="Times New Roman" w:hAnsi="Times New Roman"/>
        </w:rPr>
        <w:t>Under long-standing precedent from our Supreme Court, the judicial branch cannot order the State to pay money from the treasury to satisfy this judgment</w:t>
      </w:r>
      <w:proofErr w:type="gramStart"/>
      <w:r w:rsidRPr="00B2757A">
        <w:rPr>
          <w:rFonts w:ascii="Times New Roman" w:hAnsi="Times New Roman"/>
        </w:rPr>
        <w:t>. .</w:t>
      </w:r>
      <w:proofErr w:type="gramEnd"/>
      <w:r w:rsidRPr="00B2757A">
        <w:rPr>
          <w:rFonts w:ascii="Times New Roman" w:hAnsi="Times New Roman"/>
        </w:rPr>
        <w:t xml:space="preserve"> . . As our </w:t>
      </w:r>
      <w:r w:rsidRPr="00B2757A">
        <w:rPr>
          <w:rFonts w:ascii="Times New Roman" w:hAnsi="Times New Roman"/>
        </w:rPr>
        <w:lastRenderedPageBreak/>
        <w:t>Supreme Court explained in a similar case, having entered a money judgment against the State, the judiciary has ‘performed its function to the limit of its constitutional powers.’  From here, satisfaction of that money judgment ‘will depend upon the manner in which the General Assembly discharges its constitutional duties.’</w:t>
      </w:r>
    </w:p>
    <w:p w:rsidR="000002F3" w:rsidRPr="00B2757A" w:rsidRDefault="000002F3" w:rsidP="000002F3">
      <w:pPr>
        <w:contextualSpacing/>
        <w:jc w:val="both"/>
        <w:rPr>
          <w:rFonts w:ascii="Times New Roman" w:hAnsi="Times New Roman"/>
        </w:rPr>
      </w:pPr>
    </w:p>
    <w:p w:rsidR="000002F3" w:rsidRPr="00B2757A" w:rsidRDefault="000002F3" w:rsidP="000002F3">
      <w:pPr>
        <w:spacing w:line="480" w:lineRule="auto"/>
        <w:contextualSpacing/>
        <w:jc w:val="both"/>
        <w:rPr>
          <w:rFonts w:ascii="Times New Roman" w:hAnsi="Times New Roman"/>
        </w:rPr>
      </w:pPr>
      <w:r w:rsidRPr="00B2757A">
        <w:rPr>
          <w:rFonts w:ascii="Times New Roman" w:hAnsi="Times New Roman"/>
          <w:i/>
        </w:rPr>
        <w:t xml:space="preserve">Richmond </w:t>
      </w:r>
      <w:proofErr w:type="spellStart"/>
      <w:r w:rsidRPr="00B2757A">
        <w:rPr>
          <w:rFonts w:ascii="Times New Roman" w:hAnsi="Times New Roman"/>
          <w:i/>
        </w:rPr>
        <w:t>Cty</w:t>
      </w:r>
      <w:proofErr w:type="spellEnd"/>
      <w:r w:rsidRPr="00B2757A">
        <w:rPr>
          <w:rFonts w:ascii="Times New Roman" w:hAnsi="Times New Roman"/>
          <w:i/>
        </w:rPr>
        <w:t>.</w:t>
      </w:r>
      <w:r w:rsidRPr="00B2757A">
        <w:rPr>
          <w:rFonts w:ascii="Times New Roman" w:hAnsi="Times New Roman"/>
        </w:rPr>
        <w:t xml:space="preserve">, 254 N.C. App. at 424, 803 S.E.2d at 30 (quoting </w:t>
      </w:r>
      <w:r w:rsidRPr="00B2757A">
        <w:rPr>
          <w:rFonts w:ascii="Times New Roman" w:hAnsi="Times New Roman"/>
          <w:i/>
        </w:rPr>
        <w:t>Smith v. North Carolina</w:t>
      </w:r>
      <w:r w:rsidRPr="00B2757A">
        <w:rPr>
          <w:rFonts w:ascii="Times New Roman" w:hAnsi="Times New Roman"/>
        </w:rPr>
        <w:t>, 289 N.C. 303, 321, 222 S.E.2d 412, 424 (1976));</w:t>
      </w:r>
      <w:r w:rsidRPr="00B2757A">
        <w:rPr>
          <w:rFonts w:ascii="Times New Roman" w:hAnsi="Times New Roman"/>
          <w:i/>
        </w:rPr>
        <w:t xml:space="preserve"> see also id.</w:t>
      </w:r>
      <w:r w:rsidRPr="00B2757A">
        <w:rPr>
          <w:rFonts w:ascii="Times New Roman" w:hAnsi="Times New Roman"/>
        </w:rPr>
        <w:t xml:space="preserve"> at 429, 803 S.E.2d at 32 (“We have pronounced our judgment.  If the other branches of government still ignore it, the remedy lies not with the courts, but at the ballot box.”); </w:t>
      </w:r>
      <w:r w:rsidRPr="00B2757A">
        <w:rPr>
          <w:rFonts w:ascii="Times New Roman" w:hAnsi="Times New Roman"/>
          <w:i/>
        </w:rPr>
        <w:t>Smith</w:t>
      </w:r>
      <w:r w:rsidRPr="00B2757A">
        <w:rPr>
          <w:rFonts w:ascii="Times New Roman" w:hAnsi="Times New Roman"/>
        </w:rPr>
        <w:t xml:space="preserve">, 289 N.C. at 321, 222 S.E.2d at 424 (“In the event plaintiff is successful in establishing his claim against the State, he cannot, of course, obtain execution to enforce the judgment.”); </w:t>
      </w:r>
      <w:r w:rsidRPr="00B2757A">
        <w:rPr>
          <w:rFonts w:ascii="Times New Roman" w:hAnsi="Times New Roman"/>
          <w:i/>
        </w:rPr>
        <w:t>North Carolina v. Davis</w:t>
      </w:r>
      <w:r w:rsidRPr="00B2757A">
        <w:rPr>
          <w:rFonts w:ascii="Times New Roman" w:hAnsi="Times New Roman"/>
        </w:rPr>
        <w:t xml:space="preserve">, 270 N.C. 1, 13, 153 S.E.2d 749, 757 (1967) (“Moneys paid into the hands of the State Treasurer by virtue of a State law become public funds for which the Treasurer is responsible and may be disbursed only in accordance with legislative authority.”); </w:t>
      </w:r>
      <w:r w:rsidRPr="00B2757A">
        <w:rPr>
          <w:rFonts w:ascii="Times New Roman" w:hAnsi="Times New Roman"/>
          <w:i/>
        </w:rPr>
        <w:t>Robinson v. Barfield</w:t>
      </w:r>
      <w:r w:rsidRPr="00B2757A">
        <w:rPr>
          <w:rFonts w:ascii="Times New Roman" w:hAnsi="Times New Roman"/>
        </w:rPr>
        <w:t>, 6 N.C. 391, 411, 2 Mur. 391 (1818) (“The Legislature acts because the judicial power is incompetent to give relief.”)</w:t>
      </w:r>
    </w:p>
    <w:p w:rsidR="000002F3" w:rsidRPr="00B2757A" w:rsidRDefault="000002F3" w:rsidP="000002F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This Court today makes no decision as to whether the Court </w:t>
      </w:r>
      <w:r w:rsidR="00CA0A02" w:rsidRPr="00B2757A">
        <w:rPr>
          <w:rFonts w:ascii="Times New Roman" w:hAnsi="Times New Roman"/>
        </w:rPr>
        <w:t xml:space="preserve">had the authority </w:t>
      </w:r>
      <w:r w:rsidRPr="00B2757A">
        <w:rPr>
          <w:rFonts w:ascii="Times New Roman" w:hAnsi="Times New Roman"/>
        </w:rPr>
        <w:t xml:space="preserve">on 10 November 2021 to order the transfer of funds to the North Carolina Department of Health and Human Services, Department of Public Instruction, and the University of North Carolina System.  (10 November Order at 19.)  While it would appear from the </w:t>
      </w:r>
      <w:r w:rsidR="00CA0A02" w:rsidRPr="00B2757A">
        <w:rPr>
          <w:rFonts w:ascii="Times New Roman" w:hAnsi="Times New Roman"/>
        </w:rPr>
        <w:t xml:space="preserve">language of the Appropriations Clause, as well as </w:t>
      </w:r>
      <w:r w:rsidRPr="00B2757A">
        <w:rPr>
          <w:rFonts w:ascii="Times New Roman" w:hAnsi="Times New Roman"/>
        </w:rPr>
        <w:t xml:space="preserve">precedent of this State, including </w:t>
      </w:r>
      <w:r w:rsidRPr="00B2757A">
        <w:rPr>
          <w:rFonts w:ascii="Times New Roman" w:hAnsi="Times New Roman"/>
          <w:i/>
        </w:rPr>
        <w:t>Richmond County</w:t>
      </w:r>
      <w:r w:rsidRPr="00B2757A">
        <w:rPr>
          <w:rFonts w:ascii="Times New Roman" w:hAnsi="Times New Roman"/>
        </w:rPr>
        <w:t xml:space="preserve"> and its progeny, that the Court did not have such </w:t>
      </w:r>
      <w:r w:rsidR="00AD5E53">
        <w:rPr>
          <w:rFonts w:ascii="Times New Roman" w:hAnsi="Times New Roman"/>
        </w:rPr>
        <w:t>power</w:t>
      </w:r>
      <w:r w:rsidRPr="00B2757A">
        <w:rPr>
          <w:rFonts w:ascii="Times New Roman" w:hAnsi="Times New Roman"/>
        </w:rPr>
        <w:t xml:space="preserve">, this Court makes no proclamation as to whether it had the constitutional authority to do so prior to the passage of the Budget Act.  However, the Court does find that in the face of duly enacted legislation establishing a budget, any order from this Court enforcing the mandates of the 10 November Order, whether in whole, in part, or otherwise </w:t>
      </w:r>
      <w:r w:rsidRPr="00B2757A">
        <w:rPr>
          <w:rFonts w:ascii="Times New Roman" w:hAnsi="Times New Roman"/>
        </w:rPr>
        <w:lastRenderedPageBreak/>
        <w:t xml:space="preserve">modified, would amount to an unconstitutional invasion of the General Assembly’s exclusive power to make appropriations.  </w:t>
      </w:r>
    </w:p>
    <w:p w:rsidR="00CA0A02" w:rsidRPr="00B2757A" w:rsidRDefault="00CA0A02" w:rsidP="00CA0A02">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The fact there are no longer sufficient revenues to comply with both the Budget Act and the </w:t>
      </w:r>
      <w:r w:rsidR="00D34C96">
        <w:rPr>
          <w:rFonts w:ascii="Times New Roman" w:hAnsi="Times New Roman"/>
        </w:rPr>
        <w:t xml:space="preserve">10 </w:t>
      </w:r>
      <w:r w:rsidRPr="00B2757A">
        <w:rPr>
          <w:rFonts w:ascii="Times New Roman" w:hAnsi="Times New Roman"/>
        </w:rPr>
        <w:t xml:space="preserve">November Order means enforcing the Order would cause an even greater intrusion into legislative power.  The Constitution requires the State to maintain a balanced budget, N.C. </w:t>
      </w:r>
      <w:r w:rsidRPr="00D34C96">
        <w:rPr>
          <w:rFonts w:ascii="Times New Roman" w:hAnsi="Times New Roman"/>
          <w:smallCaps/>
        </w:rPr>
        <w:t>Const</w:t>
      </w:r>
      <w:r w:rsidRPr="00B2757A">
        <w:rPr>
          <w:rFonts w:ascii="Times New Roman" w:hAnsi="Times New Roman"/>
        </w:rPr>
        <w:t>. art. III, §5(3), and prohibits the State from engaging in deficit spending during any fiscal year</w:t>
      </w:r>
      <w:r w:rsidRPr="00B2757A">
        <w:rPr>
          <w:rFonts w:ascii="Times New Roman" w:hAnsi="Times New Roman"/>
          <w:i/>
        </w:rPr>
        <w:t>.  Id.</w:t>
      </w:r>
      <w:r w:rsidRPr="00B2757A">
        <w:rPr>
          <w:rFonts w:ascii="Times New Roman" w:hAnsi="Times New Roman"/>
        </w:rPr>
        <w:t xml:space="preserve"> Implementing the Order would thus require the courts, or executive-branch officials, to pick-and-choose which appropriations in the Budget to honor and which ones to disregard—essentially nullifying the Budget Act passed by the Legislature and displacing its role within our democratic system entirely.  </w:t>
      </w:r>
    </w:p>
    <w:p w:rsidR="00CA0A02" w:rsidRPr="00B2757A" w:rsidRDefault="00CA0A02" w:rsidP="00CA0A02">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  As the Supreme Court has explained, “[t]he clearest violation of the separation of powers clause occurs when one branch exercises power that the constitution vests exclusively in another branch.”  </w:t>
      </w:r>
      <w:proofErr w:type="spellStart"/>
      <w:r w:rsidRPr="00B2757A">
        <w:rPr>
          <w:rFonts w:ascii="Times New Roman" w:hAnsi="Times New Roman"/>
          <w:i/>
        </w:rPr>
        <w:t>McCrory</w:t>
      </w:r>
      <w:proofErr w:type="spellEnd"/>
      <w:r w:rsidRPr="00B2757A">
        <w:rPr>
          <w:rFonts w:ascii="Times New Roman" w:hAnsi="Times New Roman"/>
          <w:i/>
        </w:rPr>
        <w:t xml:space="preserve"> v. Berger</w:t>
      </w:r>
      <w:r w:rsidRPr="00B2757A">
        <w:rPr>
          <w:rFonts w:ascii="Times New Roman" w:hAnsi="Times New Roman"/>
        </w:rPr>
        <w:t xml:space="preserve">, 368 N.C. 633, 645 (2016).   Ordering the State to transfer funds in manner despite a duly enacted budget would involve such a violation, as it would require the Court to undertake for itself the whole of the legislative power of the purse. </w:t>
      </w:r>
    </w:p>
    <w:p w:rsidR="00CA0A02" w:rsidRPr="00B2757A" w:rsidRDefault="00CA0A02" w:rsidP="00CA0A02">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 Although Plaintiffs contend that the Savings Reserve established under the State Budget Act constitutes available, unappropriated revenue, that conclusion misunderstands the law and ignores governing precedent. </w:t>
      </w:r>
    </w:p>
    <w:p w:rsidR="00CA0A02" w:rsidRPr="00B2757A" w:rsidRDefault="00CA0A02" w:rsidP="00CA0A02">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Under the Budget Act, moneys held in reserve can be expended “only for the purposes for which the reserve is established” and can only be released pursuant to the procedures set forth in its governing statute. N.C.</w:t>
      </w:r>
      <w:r w:rsidR="00D34C96">
        <w:rPr>
          <w:rFonts w:ascii="Times New Roman" w:hAnsi="Times New Roman"/>
        </w:rPr>
        <w:t xml:space="preserve"> Gen. Stat.</w:t>
      </w:r>
      <w:r w:rsidRPr="00B2757A">
        <w:rPr>
          <w:rFonts w:ascii="Times New Roman" w:hAnsi="Times New Roman"/>
        </w:rPr>
        <w:t xml:space="preserve"> §</w:t>
      </w:r>
      <w:r w:rsidR="00D34C96">
        <w:rPr>
          <w:rFonts w:ascii="Times New Roman" w:hAnsi="Times New Roman"/>
        </w:rPr>
        <w:t xml:space="preserve"> </w:t>
      </w:r>
      <w:r w:rsidRPr="00B2757A">
        <w:rPr>
          <w:rFonts w:ascii="Times New Roman" w:hAnsi="Times New Roman"/>
        </w:rPr>
        <w:t>143C-4-8.  Indeed, the statute governing the Savings Reserve expressly requires a further vote of the General Assembly (and in some cases a two-thirds majority) to</w:t>
      </w:r>
      <w:r w:rsidR="00D34C96">
        <w:rPr>
          <w:rFonts w:ascii="Times New Roman" w:hAnsi="Times New Roman"/>
        </w:rPr>
        <w:t xml:space="preserve"> approve expenditures.  N.C. Gen. Stat.</w:t>
      </w:r>
      <w:r w:rsidRPr="00B2757A">
        <w:rPr>
          <w:rFonts w:ascii="Times New Roman" w:hAnsi="Times New Roman"/>
        </w:rPr>
        <w:t xml:space="preserve"> §143C-4-2(b)-(b1).</w:t>
      </w:r>
    </w:p>
    <w:p w:rsidR="00315087" w:rsidRPr="00B2757A" w:rsidRDefault="00315087" w:rsidP="00315087">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lastRenderedPageBreak/>
        <w:t xml:space="preserve">The Court of Appeals already rejected the notion that courts can order transfers out of the State’s emergency reserves in </w:t>
      </w:r>
      <w:r w:rsidRPr="00B2757A">
        <w:rPr>
          <w:rFonts w:ascii="Times New Roman" w:hAnsi="Times New Roman"/>
          <w:i/>
        </w:rPr>
        <w:t xml:space="preserve">Richmond County. </w:t>
      </w:r>
      <w:r w:rsidRPr="00B2757A">
        <w:rPr>
          <w:rFonts w:ascii="Times New Roman" w:hAnsi="Times New Roman"/>
        </w:rPr>
        <w:t xml:space="preserve"> There, plaintiffs argued the court should order the State to transfer money out of the Contingency and Emergency Reserve to repay fines and forfeitures that should have flowed to them under the State Constitution. </w:t>
      </w:r>
      <w:r w:rsidR="00D34C96">
        <w:rPr>
          <w:rFonts w:ascii="Times New Roman" w:hAnsi="Times New Roman"/>
        </w:rPr>
        <w:t xml:space="preserve"> </w:t>
      </w:r>
      <w:r w:rsidRPr="00B2757A">
        <w:rPr>
          <w:rFonts w:ascii="Times New Roman" w:hAnsi="Times New Roman"/>
          <w:i/>
        </w:rPr>
        <w:t xml:space="preserve">See </w:t>
      </w:r>
      <w:r w:rsidRPr="00B2757A">
        <w:rPr>
          <w:rFonts w:ascii="Times New Roman" w:hAnsi="Times New Roman"/>
        </w:rPr>
        <w:t xml:space="preserve">N.C. </w:t>
      </w:r>
      <w:r w:rsidRPr="00D34C96">
        <w:rPr>
          <w:rFonts w:ascii="Times New Roman" w:hAnsi="Times New Roman"/>
          <w:smallCaps/>
        </w:rPr>
        <w:t>Const</w:t>
      </w:r>
      <w:r w:rsidRPr="00B2757A">
        <w:rPr>
          <w:rFonts w:ascii="Times New Roman" w:hAnsi="Times New Roman"/>
        </w:rPr>
        <w:t>. art. IX, §</w:t>
      </w:r>
      <w:r w:rsidR="00D34C96">
        <w:rPr>
          <w:rFonts w:ascii="Times New Roman" w:hAnsi="Times New Roman"/>
        </w:rPr>
        <w:t xml:space="preserve"> </w:t>
      </w:r>
      <w:r w:rsidRPr="00B2757A">
        <w:rPr>
          <w:rFonts w:ascii="Times New Roman" w:hAnsi="Times New Roman"/>
        </w:rPr>
        <w:t xml:space="preserve">7 (requiring the proceeds of penalties and forfeitures to be used exclusively for public schools).  Unlike the Savings Reserve, expenditures from the Contingency Reserve can be approved by the Council of State. </w:t>
      </w:r>
      <w:r w:rsidR="00D34C96">
        <w:rPr>
          <w:rFonts w:ascii="Times New Roman" w:hAnsi="Times New Roman"/>
        </w:rPr>
        <w:t>N.C. Gen. Stat</w:t>
      </w:r>
      <w:r w:rsidRPr="00B2757A">
        <w:rPr>
          <w:rFonts w:ascii="Times New Roman" w:hAnsi="Times New Roman"/>
        </w:rPr>
        <w:t>. §</w:t>
      </w:r>
      <w:r w:rsidR="00D34C96">
        <w:rPr>
          <w:rFonts w:ascii="Times New Roman" w:hAnsi="Times New Roman"/>
        </w:rPr>
        <w:t xml:space="preserve"> </w:t>
      </w:r>
      <w:r w:rsidRPr="00B2757A">
        <w:rPr>
          <w:rFonts w:ascii="Times New Roman" w:hAnsi="Times New Roman"/>
        </w:rPr>
        <w:t xml:space="preserve">143-4-4.  The court nevertheless rejected and hold that an order </w:t>
      </w:r>
      <w:r w:rsidRPr="00B2757A">
        <w:rPr>
          <w:rFonts w:ascii="Times New Roman" w:hAnsi="Times New Roman"/>
          <w:snapToGrid/>
          <w:color w:val="000000"/>
        </w:rPr>
        <w:t>“[C]</w:t>
      </w:r>
      <w:proofErr w:type="spellStart"/>
      <w:r w:rsidRPr="00B2757A">
        <w:rPr>
          <w:rFonts w:ascii="Times New Roman" w:hAnsi="Times New Roman"/>
          <w:snapToGrid/>
          <w:color w:val="000000"/>
        </w:rPr>
        <w:t>ommanding</w:t>
      </w:r>
      <w:proofErr w:type="spellEnd"/>
      <w:r w:rsidRPr="00B2757A">
        <w:rPr>
          <w:rFonts w:ascii="Times New Roman" w:hAnsi="Times New Roman"/>
          <w:snapToGrid/>
          <w:color w:val="000000"/>
        </w:rPr>
        <w:t xml:space="preserve"> members of the Council of State and other executive branch officials to approve payment from this type of discretionary emergency fund is no less offensive to the Separation of Powers Clause than commanding the legislature to appropriate the money.” </w:t>
      </w:r>
      <w:r w:rsidRPr="00B2757A">
        <w:rPr>
          <w:rFonts w:ascii="Times New Roman" w:hAnsi="Times New Roman"/>
          <w:i/>
          <w:iCs/>
          <w:snapToGrid/>
          <w:color w:val="000000"/>
          <w:bdr w:val="none" w:sz="0" w:space="0" w:color="auto" w:frame="1"/>
        </w:rPr>
        <w:t xml:space="preserve">Richmond </w:t>
      </w:r>
      <w:proofErr w:type="spellStart"/>
      <w:r w:rsidRPr="00B2757A">
        <w:rPr>
          <w:rFonts w:ascii="Times New Roman" w:hAnsi="Times New Roman"/>
          <w:i/>
          <w:iCs/>
          <w:snapToGrid/>
          <w:color w:val="000000"/>
          <w:bdr w:val="none" w:sz="0" w:space="0" w:color="auto" w:frame="1"/>
        </w:rPr>
        <w:t>Cty</w:t>
      </w:r>
      <w:proofErr w:type="spellEnd"/>
      <w:r w:rsidRPr="00B2757A">
        <w:rPr>
          <w:rFonts w:ascii="Times New Roman" w:hAnsi="Times New Roman"/>
          <w:i/>
          <w:iCs/>
          <w:snapToGrid/>
          <w:color w:val="000000"/>
          <w:bdr w:val="none" w:sz="0" w:space="0" w:color="auto" w:frame="1"/>
        </w:rPr>
        <w:t>.</w:t>
      </w:r>
      <w:r w:rsidRPr="00B2757A">
        <w:rPr>
          <w:rFonts w:ascii="Times New Roman" w:hAnsi="Times New Roman"/>
          <w:snapToGrid/>
          <w:color w:val="000000"/>
        </w:rPr>
        <w:t>, 254 N.C. App. at 428–29</w:t>
      </w:r>
      <w:r w:rsidRPr="00B2757A">
        <w:rPr>
          <w:rFonts w:ascii="Times New Roman" w:hAnsi="Times New Roman"/>
          <w:b/>
          <w:snapToGrid/>
          <w:color w:val="000000"/>
        </w:rPr>
        <w:t xml:space="preserve">. </w:t>
      </w:r>
    </w:p>
    <w:p w:rsidR="00315087" w:rsidRPr="00B2757A" w:rsidRDefault="00315087" w:rsidP="00CA0A02">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The statutes governing the Savings Reserve expressly require a further vote of the General Assembly (and in some cases a two-thirds majorit</w:t>
      </w:r>
      <w:r w:rsidR="00D34C96">
        <w:rPr>
          <w:rFonts w:ascii="Times New Roman" w:hAnsi="Times New Roman"/>
        </w:rPr>
        <w:t>y) to approve expenditures.  N.C. Gen. Stat.</w:t>
      </w:r>
      <w:r w:rsidRPr="00B2757A">
        <w:rPr>
          <w:rFonts w:ascii="Times New Roman" w:hAnsi="Times New Roman"/>
        </w:rPr>
        <w:t xml:space="preserve"> §</w:t>
      </w:r>
      <w:r w:rsidR="00D34C96">
        <w:rPr>
          <w:rFonts w:ascii="Times New Roman" w:hAnsi="Times New Roman"/>
        </w:rPr>
        <w:t xml:space="preserve"> </w:t>
      </w:r>
      <w:r w:rsidRPr="00B2757A">
        <w:rPr>
          <w:rFonts w:ascii="Times New Roman" w:hAnsi="Times New Roman"/>
        </w:rPr>
        <w:t xml:space="preserve">143C-4-2(b)-(b1). Further, the State Budget Act limits the use of the Savings Reserve to emergency situations, such revenue shortfalls and natural disasters. </w:t>
      </w:r>
      <w:r w:rsidR="00D34C96">
        <w:rPr>
          <w:rFonts w:ascii="Times New Roman" w:hAnsi="Times New Roman"/>
        </w:rPr>
        <w:t>N.C. Gen. Stat.</w:t>
      </w:r>
      <w:r w:rsidR="00D34C96" w:rsidRPr="00B2757A">
        <w:rPr>
          <w:rFonts w:ascii="Times New Roman" w:hAnsi="Times New Roman"/>
        </w:rPr>
        <w:t xml:space="preserve"> </w:t>
      </w:r>
      <w:r w:rsidRPr="00B2757A">
        <w:rPr>
          <w:rFonts w:ascii="Times New Roman" w:hAnsi="Times New Roman"/>
        </w:rPr>
        <w:t>§</w:t>
      </w:r>
      <w:r w:rsidR="00D34C96">
        <w:rPr>
          <w:rFonts w:ascii="Times New Roman" w:hAnsi="Times New Roman"/>
        </w:rPr>
        <w:t xml:space="preserve"> </w:t>
      </w:r>
      <w:r w:rsidRPr="00B2757A">
        <w:rPr>
          <w:rFonts w:ascii="Times New Roman" w:hAnsi="Times New Roman"/>
        </w:rPr>
        <w:t xml:space="preserve">143C-4-2(b).  While those statutes also permit the General Assembly to expend funds to “pay costs imposed by a court or administrative order,” </w:t>
      </w:r>
      <w:r w:rsidR="00D34C96">
        <w:rPr>
          <w:rFonts w:ascii="Times New Roman" w:hAnsi="Times New Roman"/>
        </w:rPr>
        <w:t>N.C. Gen. Stat.</w:t>
      </w:r>
      <w:r w:rsidR="00D34C96" w:rsidRPr="00B2757A">
        <w:rPr>
          <w:rFonts w:ascii="Times New Roman" w:hAnsi="Times New Roman"/>
        </w:rPr>
        <w:t xml:space="preserve"> </w:t>
      </w:r>
      <w:r w:rsidRPr="00B2757A">
        <w:rPr>
          <w:rFonts w:ascii="Times New Roman" w:hAnsi="Times New Roman"/>
        </w:rPr>
        <w:t>§</w:t>
      </w:r>
      <w:r w:rsidR="00D34C96">
        <w:rPr>
          <w:rFonts w:ascii="Times New Roman" w:hAnsi="Times New Roman"/>
        </w:rPr>
        <w:t xml:space="preserve"> </w:t>
      </w:r>
      <w:r w:rsidRPr="00B2757A">
        <w:rPr>
          <w:rFonts w:ascii="Times New Roman" w:hAnsi="Times New Roman"/>
        </w:rPr>
        <w:t xml:space="preserve">143C-4-2(b), the same was true of the Contingency Reserve at issue in </w:t>
      </w:r>
      <w:r w:rsidRPr="00B2757A">
        <w:rPr>
          <w:rFonts w:ascii="Times New Roman" w:hAnsi="Times New Roman"/>
          <w:i/>
        </w:rPr>
        <w:t>Richmond County</w:t>
      </w:r>
      <w:r w:rsidRPr="00B2757A">
        <w:rPr>
          <w:rFonts w:ascii="Times New Roman" w:hAnsi="Times New Roman"/>
        </w:rPr>
        <w:t xml:space="preserve">. </w:t>
      </w:r>
      <w:r w:rsidRPr="00B2757A">
        <w:rPr>
          <w:rFonts w:ascii="Times New Roman" w:hAnsi="Times New Roman"/>
          <w:i/>
        </w:rPr>
        <w:t xml:space="preserve"> See </w:t>
      </w:r>
      <w:r w:rsidRPr="00B2757A">
        <w:rPr>
          <w:rFonts w:ascii="Times New Roman" w:hAnsi="Times New Roman"/>
        </w:rPr>
        <w:t xml:space="preserve">254 N.C. App. at 429 (observing that </w:t>
      </w:r>
      <w:r w:rsidR="00D34C96">
        <w:rPr>
          <w:rFonts w:ascii="Times New Roman" w:hAnsi="Times New Roman"/>
        </w:rPr>
        <w:t>N.C. Gen. Stat.</w:t>
      </w:r>
      <w:r w:rsidR="00D34C96" w:rsidRPr="00B2757A">
        <w:rPr>
          <w:rFonts w:ascii="Times New Roman" w:hAnsi="Times New Roman"/>
        </w:rPr>
        <w:t xml:space="preserve"> </w:t>
      </w:r>
      <w:r w:rsidRPr="00B2757A">
        <w:rPr>
          <w:rFonts w:ascii="Times New Roman" w:hAnsi="Times New Roman"/>
        </w:rPr>
        <w:t>§</w:t>
      </w:r>
      <w:r w:rsidR="00D34C96">
        <w:rPr>
          <w:rFonts w:ascii="Times New Roman" w:hAnsi="Times New Roman"/>
        </w:rPr>
        <w:t xml:space="preserve"> </w:t>
      </w:r>
      <w:r w:rsidRPr="00B2757A">
        <w:rPr>
          <w:rFonts w:ascii="Times New Roman" w:hAnsi="Times New Roman"/>
        </w:rPr>
        <w:t xml:space="preserve">143C-4-4 permits the Council of State to use the contingency reserve for expenditures required by a court).  The Court nevertheless held that the decision to use those funds constituted a </w:t>
      </w:r>
      <w:proofErr w:type="spellStart"/>
      <w:r w:rsidRPr="00B2757A">
        <w:rPr>
          <w:rFonts w:ascii="Times New Roman" w:hAnsi="Times New Roman"/>
        </w:rPr>
        <w:t>nonjusticiable</w:t>
      </w:r>
      <w:proofErr w:type="spellEnd"/>
      <w:r w:rsidRPr="00B2757A">
        <w:rPr>
          <w:rFonts w:ascii="Times New Roman" w:hAnsi="Times New Roman"/>
        </w:rPr>
        <w:t xml:space="preserve"> political question.</w:t>
      </w:r>
      <w:r w:rsidR="00D34C96">
        <w:rPr>
          <w:rFonts w:ascii="Times New Roman" w:hAnsi="Times New Roman"/>
        </w:rPr>
        <w:t xml:space="preserve"> </w:t>
      </w:r>
      <w:r w:rsidRPr="00B2757A">
        <w:rPr>
          <w:rFonts w:ascii="Times New Roman" w:hAnsi="Times New Roman"/>
        </w:rPr>
        <w:t xml:space="preserve"> </w:t>
      </w:r>
      <w:r w:rsidRPr="00B2757A">
        <w:rPr>
          <w:rFonts w:ascii="Times New Roman" w:hAnsi="Times New Roman"/>
          <w:i/>
        </w:rPr>
        <w:t xml:space="preserve">Id. </w:t>
      </w:r>
      <w:r w:rsidR="00D34C96">
        <w:rPr>
          <w:rFonts w:ascii="Times New Roman" w:hAnsi="Times New Roman"/>
          <w:i/>
        </w:rPr>
        <w:t xml:space="preserve"> </w:t>
      </w:r>
      <w:r w:rsidRPr="00B2757A">
        <w:rPr>
          <w:rFonts w:ascii="Times New Roman" w:hAnsi="Times New Roman"/>
          <w:i/>
        </w:rPr>
        <w:t xml:space="preserve"> </w:t>
      </w:r>
      <w:r w:rsidRPr="00B2757A">
        <w:rPr>
          <w:rFonts w:ascii="Times New Roman" w:hAnsi="Times New Roman"/>
        </w:rPr>
        <w:t xml:space="preserve">The outcome should be the same here. </w:t>
      </w:r>
    </w:p>
    <w:p w:rsidR="00315087" w:rsidRPr="00B2757A" w:rsidRDefault="00315087" w:rsidP="00315087">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The Court, on this limited issue on remand, is thus without power to act.  Having found a constitutional violation, the Court cannot order an </w:t>
      </w:r>
      <w:r w:rsidR="00D34C96" w:rsidRPr="00B2757A">
        <w:rPr>
          <w:rFonts w:ascii="Times New Roman" w:hAnsi="Times New Roman"/>
        </w:rPr>
        <w:t>appropriation</w:t>
      </w:r>
      <w:r w:rsidRPr="00B2757A">
        <w:rPr>
          <w:rFonts w:ascii="Times New Roman" w:hAnsi="Times New Roman"/>
        </w:rPr>
        <w:t xml:space="preserve"> from the Treasury without </w:t>
      </w:r>
      <w:r w:rsidRPr="00B2757A">
        <w:rPr>
          <w:rFonts w:ascii="Times New Roman" w:hAnsi="Times New Roman"/>
        </w:rPr>
        <w:lastRenderedPageBreak/>
        <w:t>violating the separation of powers.  The “inaction by those exercising authority,” (10 November Order at 13), upon which the November Order was predicated, is no longer the current state of affairs.  To the contrary, the Legislature has spoken and adopted a duly enacted Budget.  And “[w]hen the General Assembly fulfills its constitutional role through the normal (statutory) budget process, there is no need for judicial intervention to effectuate the constitutional right.”  (</w:t>
      </w:r>
      <w:r w:rsidRPr="00B2757A">
        <w:rPr>
          <w:rFonts w:ascii="Times New Roman" w:hAnsi="Times New Roman"/>
          <w:i/>
        </w:rPr>
        <w:t>Id.</w:t>
      </w:r>
      <w:r w:rsidR="00D34C96">
        <w:rPr>
          <w:rFonts w:ascii="Times New Roman" w:hAnsi="Times New Roman"/>
        </w:rPr>
        <w:t xml:space="preserve"> at 16.)</w:t>
      </w:r>
      <w:r w:rsidRPr="00B2757A">
        <w:rPr>
          <w:rFonts w:ascii="Times New Roman" w:hAnsi="Times New Roman"/>
        </w:rPr>
        <w:t xml:space="preserve">   Therefore, by its own terms, as well as long-standing law, the 10 November Order is </w:t>
      </w:r>
      <w:r w:rsidRPr="00B2757A">
        <w:rPr>
          <w:rFonts w:ascii="Times New Roman" w:hAnsi="Times New Roman"/>
          <w:b/>
        </w:rPr>
        <w:t>VACATED</w:t>
      </w:r>
      <w:r w:rsidRPr="00B2757A">
        <w:rPr>
          <w:rFonts w:ascii="Times New Roman" w:hAnsi="Times New Roman"/>
        </w:rPr>
        <w:t xml:space="preserve">. </w:t>
      </w:r>
    </w:p>
    <w:p w:rsidR="00315087" w:rsidRPr="00B2757A" w:rsidRDefault="00315087" w:rsidP="00315087">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In any event, and in the alternative, the Court finds that it would be inappropriate, at this juncture at least, to conclude that the Budget A</w:t>
      </w:r>
      <w:r w:rsidR="00D34C96">
        <w:rPr>
          <w:rFonts w:ascii="Times New Roman" w:hAnsi="Times New Roman"/>
        </w:rPr>
        <w:t xml:space="preserve">ct is insufficient to provide </w:t>
      </w:r>
      <w:r w:rsidRPr="00B2757A">
        <w:rPr>
          <w:rFonts w:ascii="Times New Roman" w:hAnsi="Times New Roman"/>
        </w:rPr>
        <w:t xml:space="preserve">children in this State with a sound basic education, or that it requiring the State to fund the remaining items in the Comprehensive Remedial Plan is necessary to remedy a violation </w:t>
      </w:r>
      <w:r w:rsidR="00D34C96">
        <w:rPr>
          <w:rFonts w:ascii="Times New Roman" w:hAnsi="Times New Roman"/>
        </w:rPr>
        <w:t xml:space="preserve">of the right established under </w:t>
      </w:r>
      <w:r w:rsidRPr="00B2757A">
        <w:rPr>
          <w:rFonts w:ascii="Times New Roman" w:hAnsi="Times New Roman"/>
          <w:i/>
        </w:rPr>
        <w:t>Leandro</w:t>
      </w:r>
      <w:r w:rsidRPr="00B2757A">
        <w:rPr>
          <w:rFonts w:ascii="Times New Roman" w:hAnsi="Times New Roman"/>
        </w:rPr>
        <w:t xml:space="preserve">. </w:t>
      </w:r>
    </w:p>
    <w:p w:rsidR="00315087" w:rsidRPr="00B2757A" w:rsidRDefault="00315087" w:rsidP="00315087">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The Supreme Court has repeatedly admonished in the course of this </w:t>
      </w:r>
      <w:r w:rsidR="00B2757A" w:rsidRPr="00B2757A">
        <w:rPr>
          <w:rFonts w:ascii="Times New Roman" w:hAnsi="Times New Roman"/>
        </w:rPr>
        <w:t xml:space="preserve">very </w:t>
      </w:r>
      <w:r w:rsidRPr="00B2757A">
        <w:rPr>
          <w:rFonts w:ascii="Times New Roman" w:hAnsi="Times New Roman"/>
        </w:rPr>
        <w:t>litigation that, when fashioning a remedy, the Court must do “</w:t>
      </w:r>
      <w:r w:rsidRPr="00B2757A">
        <w:rPr>
          <w:rFonts w:ascii="Times New Roman" w:hAnsi="Times New Roman"/>
          <w:i/>
        </w:rPr>
        <w:t>no more than is reasonably necessary</w:t>
      </w:r>
      <w:r w:rsidRPr="00B2757A">
        <w:rPr>
          <w:rFonts w:ascii="Times New Roman" w:hAnsi="Times New Roman"/>
        </w:rPr>
        <w:t xml:space="preserve">” to correct the alleged constitutional violation. </w:t>
      </w:r>
      <w:r w:rsidRPr="00B2757A">
        <w:rPr>
          <w:rFonts w:ascii="Times New Roman" w:hAnsi="Times New Roman"/>
          <w:i/>
        </w:rPr>
        <w:t xml:space="preserve">See </w:t>
      </w:r>
      <w:r w:rsidR="00B2757A" w:rsidRPr="00B2757A">
        <w:rPr>
          <w:rFonts w:ascii="Times New Roman" w:hAnsi="Times New Roman"/>
          <w:i/>
        </w:rPr>
        <w:t>Leandro I</w:t>
      </w:r>
      <w:r w:rsidRPr="00B2757A">
        <w:rPr>
          <w:rFonts w:ascii="Times New Roman" w:hAnsi="Times New Roman"/>
          <w:i/>
        </w:rPr>
        <w:t>.</w:t>
      </w:r>
      <w:r w:rsidRPr="00B2757A">
        <w:rPr>
          <w:rFonts w:ascii="Times New Roman" w:hAnsi="Times New Roman"/>
        </w:rPr>
        <w:t>, 358 N.C. at 610</w:t>
      </w:r>
      <w:r w:rsidRPr="00B2757A">
        <w:rPr>
          <w:rFonts w:ascii="Times New Roman" w:hAnsi="Times New Roman"/>
        </w:rPr>
        <w:fldChar w:fldCharType="begin"/>
      </w:r>
      <w:r w:rsidRPr="00B2757A">
        <w:rPr>
          <w:rFonts w:ascii="Times New Roman" w:hAnsi="Times New Roman"/>
        </w:rPr>
        <w:instrText xml:space="preserve"> TA \s "Hoke County Board of Education v. State, 358 N.C. 605, 599 S.E.2d 365 (2004)" </w:instrText>
      </w:r>
      <w:r w:rsidRPr="00B2757A">
        <w:rPr>
          <w:rFonts w:ascii="Times New Roman" w:hAnsi="Times New Roman"/>
        </w:rPr>
        <w:fldChar w:fldCharType="end"/>
      </w:r>
      <w:r w:rsidRPr="00B2757A">
        <w:rPr>
          <w:rFonts w:ascii="Times New Roman" w:hAnsi="Times New Roman"/>
        </w:rPr>
        <w:t xml:space="preserve"> (holding that any relief granted must “correct the failure with minimal encroachment on the other branches of government”); </w:t>
      </w:r>
      <w:r w:rsidRPr="00B2757A">
        <w:rPr>
          <w:rFonts w:ascii="Times New Roman" w:hAnsi="Times New Roman"/>
          <w:i/>
        </w:rPr>
        <w:t>see also Alamance County</w:t>
      </w:r>
      <w:r w:rsidRPr="00B2757A">
        <w:rPr>
          <w:rFonts w:ascii="Times New Roman" w:hAnsi="Times New Roman"/>
          <w:i/>
        </w:rPr>
        <w:fldChar w:fldCharType="begin"/>
      </w:r>
      <w:r w:rsidRPr="00B2757A">
        <w:rPr>
          <w:rFonts w:ascii="Times New Roman" w:hAnsi="Times New Roman"/>
        </w:rPr>
        <w:instrText xml:space="preserve"> TA \s "In re Alamance Cty. Court Facilities, 329 N.C. 84, 405 S.E.2d 125 (1991)" </w:instrText>
      </w:r>
      <w:r w:rsidRPr="00B2757A">
        <w:rPr>
          <w:rFonts w:ascii="Times New Roman" w:hAnsi="Times New Roman"/>
          <w:i/>
        </w:rPr>
        <w:fldChar w:fldCharType="end"/>
      </w:r>
      <w:r w:rsidRPr="00B2757A">
        <w:rPr>
          <w:rFonts w:ascii="Times New Roman" w:hAnsi="Times New Roman"/>
        </w:rPr>
        <w:t xml:space="preserve">, 329 N.C. at  99 (holding that, in remedying an alleged constitutional violation, the court must “do </w:t>
      </w:r>
      <w:r w:rsidRPr="00B2757A">
        <w:rPr>
          <w:rFonts w:ascii="Times New Roman" w:hAnsi="Times New Roman"/>
          <w:i/>
        </w:rPr>
        <w:t>no more</w:t>
      </w:r>
      <w:r w:rsidRPr="00B2757A">
        <w:rPr>
          <w:rFonts w:ascii="Times New Roman" w:hAnsi="Times New Roman"/>
        </w:rPr>
        <w:t xml:space="preserve"> than is reasonably necessary” (emphasis in original)). </w:t>
      </w:r>
    </w:p>
    <w:p w:rsidR="00B2757A" w:rsidRPr="00B2757A" w:rsidRDefault="00B2757A" w:rsidP="00B2757A">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Moreover, when assessing legislation such as the Budget Act, courts must</w:t>
      </w:r>
      <w:r w:rsidRPr="00B2757A">
        <w:rPr>
          <w:rFonts w:ascii="Times New Roman" w:hAnsi="Times New Roman"/>
          <w:shd w:val="clear" w:color="auto" w:fill="FFFFFF"/>
        </w:rPr>
        <w:t> “begin with a presumption that the laws duly enacted by the General Assembly are valid</w:t>
      </w:r>
      <w:r w:rsidRPr="00B2757A">
        <w:rPr>
          <w:rFonts w:ascii="Times New Roman" w:hAnsi="Times New Roman"/>
        </w:rPr>
        <w:t xml:space="preserve">” and can only reach a contrary conclusion if a law’s “unconstitutionality is demonstrated beyond a reasonable doubt.” </w:t>
      </w:r>
      <w:r w:rsidRPr="00B2757A">
        <w:rPr>
          <w:rFonts w:ascii="Times New Roman" w:hAnsi="Times New Roman"/>
          <w:i/>
        </w:rPr>
        <w:t>Cooper</w:t>
      </w:r>
      <w:r w:rsidRPr="00B2757A">
        <w:rPr>
          <w:rFonts w:ascii="Times New Roman" w:hAnsi="Times New Roman"/>
          <w:i/>
        </w:rPr>
        <w:fldChar w:fldCharType="begin"/>
      </w:r>
      <w:r w:rsidRPr="00B2757A">
        <w:rPr>
          <w:rFonts w:ascii="Times New Roman" w:hAnsi="Times New Roman"/>
        </w:rPr>
        <w:instrText xml:space="preserve"> TA \s "Cooper v. Berger, 376 N.C. 22, 852 S.E.2d 46 (2020)" </w:instrText>
      </w:r>
      <w:r w:rsidRPr="00B2757A">
        <w:rPr>
          <w:rFonts w:ascii="Times New Roman" w:hAnsi="Times New Roman"/>
          <w:i/>
        </w:rPr>
        <w:fldChar w:fldCharType="end"/>
      </w:r>
      <w:r w:rsidRPr="00B2757A">
        <w:rPr>
          <w:rFonts w:ascii="Times New Roman" w:hAnsi="Times New Roman"/>
          <w:i/>
        </w:rPr>
        <w:t xml:space="preserve">, </w:t>
      </w:r>
      <w:r w:rsidRPr="00B2757A">
        <w:rPr>
          <w:rFonts w:ascii="Times New Roman" w:hAnsi="Times New Roman"/>
        </w:rPr>
        <w:t xml:space="preserve">376 N.C. at 33; </w:t>
      </w:r>
      <w:r w:rsidRPr="00B2757A">
        <w:rPr>
          <w:rFonts w:ascii="Times New Roman" w:hAnsi="Times New Roman"/>
          <w:i/>
        </w:rPr>
        <w:t>Leandro II</w:t>
      </w:r>
      <w:r w:rsidRPr="00B2757A">
        <w:rPr>
          <w:rFonts w:ascii="Times New Roman" w:hAnsi="Times New Roman"/>
          <w:i/>
        </w:rPr>
        <w:fldChar w:fldCharType="begin"/>
      </w:r>
      <w:r w:rsidRPr="00B2757A">
        <w:rPr>
          <w:rFonts w:ascii="Times New Roman" w:hAnsi="Times New Roman"/>
        </w:rPr>
        <w:instrText xml:space="preserve"> TA \s "Hoke County Board of Education v. State, 358 N.C. 605, 599 S.E.2d 365 (2004)" </w:instrText>
      </w:r>
      <w:r w:rsidRPr="00B2757A">
        <w:rPr>
          <w:rFonts w:ascii="Times New Roman" w:hAnsi="Times New Roman"/>
          <w:i/>
        </w:rPr>
        <w:fldChar w:fldCharType="end"/>
      </w:r>
      <w:r w:rsidRPr="00B2757A">
        <w:rPr>
          <w:rFonts w:ascii="Times New Roman" w:hAnsi="Times New Roman"/>
        </w:rPr>
        <w:t xml:space="preserve">, 358 N.C. at 622-23 (“The courts of the state must grant every reasonable deference to the legislative and executive branches when considering </w:t>
      </w:r>
      <w:r w:rsidRPr="00B2757A">
        <w:rPr>
          <w:rFonts w:ascii="Times New Roman" w:hAnsi="Times New Roman"/>
        </w:rPr>
        <w:lastRenderedPageBreak/>
        <w:t xml:space="preserve">whether they have established and are administering a system that provides the children of the various school districts of the state a sound basic education.”) </w:t>
      </w:r>
    </w:p>
    <w:p w:rsidR="00B2757A" w:rsidRPr="00B2757A" w:rsidRDefault="00B2757A" w:rsidP="00B2757A">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Despite this, Plaintiffs insist that the CRP represents the </w:t>
      </w:r>
      <w:r w:rsidRPr="00B2757A">
        <w:rPr>
          <w:rFonts w:ascii="Times New Roman" w:hAnsi="Times New Roman"/>
          <w:i/>
        </w:rPr>
        <w:t>only</w:t>
      </w:r>
      <w:r w:rsidRPr="00B2757A">
        <w:rPr>
          <w:rFonts w:ascii="Times New Roman" w:hAnsi="Times New Roman"/>
        </w:rPr>
        <w:t xml:space="preserve"> way to provide a sound basic education to children in the Plaintiff school districts, and that anything other than their chosen remedy simply will not do.</w:t>
      </w:r>
    </w:p>
    <w:p w:rsidR="00E55503" w:rsidRPr="00B2757A" w:rsidRDefault="00B2757A" w:rsidP="00195860">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snapToGrid/>
          <w:color w:val="000000"/>
        </w:rPr>
        <w:t xml:space="preserve">The Supreme Court, however, rejected that exact argument at the outset of this case. </w:t>
      </w:r>
      <w:r w:rsidR="00E55503" w:rsidRPr="00B2757A">
        <w:rPr>
          <w:rFonts w:ascii="Times New Roman" w:hAnsi="Times New Roman"/>
        </w:rPr>
        <w:t xml:space="preserve">  </w:t>
      </w:r>
      <w:r w:rsidRPr="00B2757A">
        <w:rPr>
          <w:rFonts w:ascii="Times New Roman" w:hAnsi="Times New Roman"/>
          <w:snapToGrid/>
          <w:color w:val="000000"/>
        </w:rPr>
        <w:t xml:space="preserve">In </w:t>
      </w:r>
      <w:r w:rsidR="00D34C96">
        <w:rPr>
          <w:rFonts w:ascii="Times New Roman" w:hAnsi="Times New Roman"/>
          <w:i/>
          <w:snapToGrid/>
          <w:color w:val="000000"/>
        </w:rPr>
        <w:t>Leandro I</w:t>
      </w:r>
      <w:r w:rsidRPr="00B2757A">
        <w:rPr>
          <w:rFonts w:ascii="Times New Roman" w:hAnsi="Times New Roman"/>
          <w:snapToGrid/>
          <w:color w:val="000000"/>
        </w:rPr>
        <w:t>, the Court explained that</w:t>
      </w:r>
      <w:r w:rsidR="00E55503" w:rsidRPr="00B2757A">
        <w:rPr>
          <w:rFonts w:ascii="Times New Roman" w:hAnsi="Times New Roman"/>
          <w:snapToGrid/>
          <w:color w:val="000000"/>
        </w:rPr>
        <w:t xml:space="preserve"> “[t]he very complexity of the problems of financing and managing a statewide public school system suggests that there will be more than one constitutionally permissible method of solving them.”  346 N.C. </w:t>
      </w:r>
      <w:r w:rsidR="00195860" w:rsidRPr="00B2757A">
        <w:rPr>
          <w:rFonts w:ascii="Times New Roman" w:hAnsi="Times New Roman"/>
          <w:snapToGrid/>
          <w:color w:val="000000"/>
        </w:rPr>
        <w:t>at</w:t>
      </w:r>
      <w:r w:rsidR="00E55503" w:rsidRPr="00B2757A">
        <w:rPr>
          <w:rFonts w:ascii="Times New Roman" w:hAnsi="Times New Roman"/>
          <w:snapToGrid/>
          <w:color w:val="000000"/>
        </w:rPr>
        <w:t xml:space="preserve"> 354, 488 S.E.2d </w:t>
      </w:r>
      <w:r w:rsidR="00195860" w:rsidRPr="00B2757A">
        <w:rPr>
          <w:rFonts w:ascii="Times New Roman" w:hAnsi="Times New Roman"/>
          <w:snapToGrid/>
          <w:color w:val="000000"/>
        </w:rPr>
        <w:t>at 260 (1997)</w:t>
      </w:r>
      <w:r w:rsidR="00E55503" w:rsidRPr="00B2757A">
        <w:rPr>
          <w:rFonts w:ascii="Times New Roman" w:hAnsi="Times New Roman"/>
          <w:snapToGrid/>
          <w:color w:val="000000"/>
        </w:rPr>
        <w:t xml:space="preserve">.  Therefore, “within the limits of rationality, the legislature’s efforts to tackle the problems should be entitled to respect,” </w:t>
      </w:r>
      <w:r w:rsidR="00E55503" w:rsidRPr="00B2757A">
        <w:rPr>
          <w:rFonts w:ascii="Times New Roman" w:hAnsi="Times New Roman"/>
          <w:i/>
          <w:snapToGrid/>
          <w:color w:val="000000"/>
        </w:rPr>
        <w:t>id.</w:t>
      </w:r>
      <w:r w:rsidR="00E55503" w:rsidRPr="00B2757A">
        <w:rPr>
          <w:rFonts w:ascii="Times New Roman" w:hAnsi="Times New Roman"/>
          <w:snapToGrid/>
          <w:color w:val="000000"/>
        </w:rPr>
        <w:t>, because the legislature is in a better position to make such determinations:</w:t>
      </w:r>
    </w:p>
    <w:p w:rsidR="00E55503" w:rsidRPr="00B2757A" w:rsidRDefault="00E55503" w:rsidP="00E55503">
      <w:pPr>
        <w:ind w:left="720" w:right="720"/>
        <w:jc w:val="both"/>
        <w:rPr>
          <w:rFonts w:ascii="Times New Roman" w:hAnsi="Times New Roman"/>
          <w:snapToGrid/>
          <w:color w:val="000000"/>
        </w:rPr>
      </w:pPr>
      <w:r w:rsidRPr="00B2757A">
        <w:rPr>
          <w:rFonts w:ascii="Times New Roman" w:hAnsi="Times New Roman"/>
          <w:snapToGrid/>
          <w:color w:val="000000"/>
        </w:rPr>
        <w:t xml:space="preserve">We acknowledge that </w:t>
      </w:r>
      <w:r w:rsidRPr="00B2757A">
        <w:rPr>
          <w:rFonts w:ascii="Times New Roman" w:hAnsi="Times New Roman"/>
          <w:b/>
          <w:i/>
          <w:snapToGrid/>
          <w:color w:val="000000"/>
        </w:rPr>
        <w:t>the legislative process provides a better forum than the courts for discussing and determining what educational programs and resources are most likely to ensure that each child of the state receives a sound basic education</w:t>
      </w:r>
      <w:r w:rsidRPr="00B2757A">
        <w:rPr>
          <w:rFonts w:ascii="Times New Roman" w:hAnsi="Times New Roman"/>
          <w:snapToGrid/>
          <w:color w:val="000000"/>
        </w:rPr>
        <w:t>.  The members of the General Assembly are popularly elected to represent the public for the purpose of making such decisions.  The legislature, unlike the courts, is not limited to addressing only cases and controversies brought before it by litigants.  The legislature can properly conduct public hearing and committee meetings at which it can hear and consider the views of the general public as well as education experts and permit the full expression of all points of view as to what curricula will best ensure that every child of the state has the opportunity to receive a sound basic education.</w:t>
      </w:r>
    </w:p>
    <w:p w:rsidR="00E55503" w:rsidRPr="00B2757A" w:rsidRDefault="00E55503" w:rsidP="00E55503">
      <w:pPr>
        <w:autoSpaceDE w:val="0"/>
        <w:autoSpaceDN w:val="0"/>
        <w:adjustRightInd w:val="0"/>
        <w:snapToGrid w:val="0"/>
        <w:jc w:val="both"/>
        <w:rPr>
          <w:rFonts w:ascii="Times New Roman" w:hAnsi="Times New Roman"/>
          <w:snapToGrid/>
          <w:color w:val="000000"/>
        </w:rPr>
      </w:pPr>
    </w:p>
    <w:p w:rsidR="00195860" w:rsidRPr="00B2757A" w:rsidRDefault="00D34C96" w:rsidP="00E55503">
      <w:pPr>
        <w:spacing w:line="480" w:lineRule="auto"/>
        <w:jc w:val="both"/>
        <w:rPr>
          <w:rFonts w:ascii="Times New Roman" w:hAnsi="Times New Roman"/>
          <w:snapToGrid/>
          <w:color w:val="000000"/>
        </w:rPr>
      </w:pPr>
      <w:r>
        <w:rPr>
          <w:rFonts w:ascii="Times New Roman" w:hAnsi="Times New Roman"/>
          <w:i/>
          <w:snapToGrid/>
          <w:color w:val="000000"/>
        </w:rPr>
        <w:t>Id.</w:t>
      </w:r>
      <w:r w:rsidR="00E55503" w:rsidRPr="00B2757A">
        <w:rPr>
          <w:rFonts w:ascii="Times New Roman" w:hAnsi="Times New Roman"/>
          <w:snapToGrid/>
          <w:color w:val="000000"/>
        </w:rPr>
        <w:t xml:space="preserve"> at 354-55, 488 S.E.2d at 260 (emphasis added).  </w:t>
      </w:r>
    </w:p>
    <w:p w:rsidR="00195860" w:rsidRPr="00B2757A" w:rsidRDefault="00195860" w:rsidP="00E55503">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snapToGrid/>
          <w:color w:val="000000"/>
        </w:rPr>
        <w:t xml:space="preserve">The Supreme Court’s holding in </w:t>
      </w:r>
      <w:r w:rsidRPr="00B2757A">
        <w:rPr>
          <w:rFonts w:ascii="Times New Roman" w:hAnsi="Times New Roman"/>
          <w:i/>
          <w:snapToGrid/>
          <w:color w:val="000000"/>
        </w:rPr>
        <w:t>Leandro I</w:t>
      </w:r>
      <w:r w:rsidR="00E55503" w:rsidRPr="00B2757A">
        <w:rPr>
          <w:rFonts w:ascii="Times New Roman" w:hAnsi="Times New Roman"/>
          <w:snapToGrid/>
          <w:color w:val="000000"/>
        </w:rPr>
        <w:t xml:space="preserve"> comports with other holdings of the Supreme Court as well.  </w:t>
      </w:r>
      <w:r w:rsidR="00E55503" w:rsidRPr="00B2757A">
        <w:rPr>
          <w:rFonts w:ascii="Times New Roman" w:hAnsi="Times New Roman"/>
          <w:i/>
        </w:rPr>
        <w:t>See Rhyne v. K-Mart Corp.</w:t>
      </w:r>
      <w:r w:rsidR="00E55503" w:rsidRPr="00B2757A">
        <w:rPr>
          <w:rFonts w:ascii="Times New Roman" w:hAnsi="Times New Roman"/>
        </w:rPr>
        <w:t xml:space="preserve">, 358 N.C. 160, 169, 594 S.E.3d 1, 8 (2004) (noting that “the legislative branch of government is without question ‘the policy making agency of our government’” and, as such, “it is a far more appropriate forum than the courts for </w:t>
      </w:r>
      <w:r w:rsidR="00E55503" w:rsidRPr="00B2757A">
        <w:rPr>
          <w:rFonts w:ascii="Times New Roman" w:hAnsi="Times New Roman"/>
        </w:rPr>
        <w:lastRenderedPageBreak/>
        <w:t xml:space="preserve">implementing policy-based changes to our laws.”); </w:t>
      </w:r>
      <w:r w:rsidR="00E55503" w:rsidRPr="00B2757A">
        <w:rPr>
          <w:rFonts w:ascii="Times New Roman" w:hAnsi="Times New Roman"/>
          <w:i/>
        </w:rPr>
        <w:t>id</w:t>
      </w:r>
      <w:r w:rsidR="00E55503" w:rsidRPr="00B2757A">
        <w:rPr>
          <w:rFonts w:ascii="Times New Roman" w:hAnsi="Times New Roman"/>
        </w:rPr>
        <w:t xml:space="preserve">. at 169-70, 594 S.E.3d at 8-9 (“This Court has continually acknowledged that, unlike the judiciary, the General Assembly is well equipped to weigh all the factors surrounding a particular problem, balance competing interests, provide an appropriate forum for a full and open debate, and address all issues at one time.”); </w:t>
      </w:r>
      <w:r w:rsidR="00E55503" w:rsidRPr="00B2757A">
        <w:rPr>
          <w:rFonts w:ascii="Times New Roman" w:hAnsi="Times New Roman"/>
          <w:i/>
        </w:rPr>
        <w:t>Hart v. North Carolina</w:t>
      </w:r>
      <w:r w:rsidR="00E55503" w:rsidRPr="00B2757A">
        <w:rPr>
          <w:rFonts w:ascii="Times New Roman" w:hAnsi="Times New Roman"/>
        </w:rPr>
        <w:t>, 368 N.C. 122, 126, 774 S.E.2d 281, 285 (2015) (“But the role of judges is distinguishable, as we neither participate in this dialogue nor assess the wisdom of legislation.  Just as the legislative and executive branches of government are expected to operate within their constitutionally defined spheres, so must the courts.”</w:t>
      </w:r>
      <w:r w:rsidR="00910F48" w:rsidRPr="00B2757A">
        <w:rPr>
          <w:rFonts w:ascii="Times New Roman" w:hAnsi="Times New Roman"/>
        </w:rPr>
        <w:t xml:space="preserve">).  </w:t>
      </w:r>
      <w:r w:rsidR="009F35E8" w:rsidRPr="00B2757A">
        <w:rPr>
          <w:rFonts w:ascii="Times New Roman" w:hAnsi="Times New Roman"/>
        </w:rPr>
        <w:t xml:space="preserve">Thus, in this case, the Supreme Court recognized “the fact that the administration of public schools of the state is best left to the legislative and executive branches of government.”  </w:t>
      </w:r>
      <w:r w:rsidR="009F35E8" w:rsidRPr="00B2757A">
        <w:rPr>
          <w:rFonts w:ascii="Times New Roman" w:hAnsi="Times New Roman"/>
          <w:i/>
        </w:rPr>
        <w:t>Leandro I</w:t>
      </w:r>
      <w:r w:rsidR="009F35E8" w:rsidRPr="00B2757A">
        <w:rPr>
          <w:rFonts w:ascii="Times New Roman" w:hAnsi="Times New Roman"/>
        </w:rPr>
        <w:t>, 346 N.C. at 357, 488 S.E.2d at 261.</w:t>
      </w:r>
    </w:p>
    <w:p w:rsidR="00195860" w:rsidRPr="00B2757A" w:rsidRDefault="00195860" w:rsidP="00195860">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rPr>
        <w:t xml:space="preserve">This Court </w:t>
      </w:r>
      <w:r w:rsidR="00A3405F" w:rsidRPr="00B2757A">
        <w:rPr>
          <w:rFonts w:ascii="Times New Roman" w:hAnsi="Times New Roman"/>
        </w:rPr>
        <w:t xml:space="preserve">thus </w:t>
      </w:r>
      <w:r w:rsidRPr="00B2757A">
        <w:rPr>
          <w:rFonts w:ascii="Times New Roman" w:hAnsi="Times New Roman"/>
        </w:rPr>
        <w:t>“must</w:t>
      </w:r>
      <w:r w:rsidR="009F35E8" w:rsidRPr="00B2757A">
        <w:rPr>
          <w:rFonts w:ascii="Times New Roman" w:hAnsi="Times New Roman"/>
          <w:snapToGrid/>
          <w:color w:val="000000"/>
        </w:rPr>
        <w:t xml:space="preserve"> grant every reasonable deference to the legislative and executive branches when considering whether they have established and are administrating a system that provides the children of various school districts of the state a sound basic education, and a clear showing to the contrary must be made before the courts may conclude that they have not.”  </w:t>
      </w:r>
      <w:r w:rsidR="009F35E8" w:rsidRPr="00B2757A">
        <w:rPr>
          <w:rFonts w:ascii="Times New Roman" w:hAnsi="Times New Roman"/>
          <w:i/>
          <w:snapToGrid/>
          <w:color w:val="000000"/>
        </w:rPr>
        <w:t xml:space="preserve">Hoke </w:t>
      </w:r>
      <w:proofErr w:type="spellStart"/>
      <w:r w:rsidR="009F35E8" w:rsidRPr="00B2757A">
        <w:rPr>
          <w:rFonts w:ascii="Times New Roman" w:hAnsi="Times New Roman"/>
          <w:i/>
          <w:snapToGrid/>
          <w:color w:val="000000"/>
        </w:rPr>
        <w:t>Cty</w:t>
      </w:r>
      <w:proofErr w:type="spellEnd"/>
      <w:r w:rsidR="009F35E8" w:rsidRPr="00B2757A">
        <w:rPr>
          <w:rFonts w:ascii="Times New Roman" w:hAnsi="Times New Roman"/>
          <w:i/>
          <w:snapToGrid/>
          <w:color w:val="000000"/>
        </w:rPr>
        <w:t>. Bd. of Educ. v. North Carolina</w:t>
      </w:r>
      <w:r w:rsidR="009F35E8" w:rsidRPr="00B2757A">
        <w:rPr>
          <w:rFonts w:ascii="Times New Roman" w:hAnsi="Times New Roman"/>
          <w:snapToGrid/>
          <w:color w:val="000000"/>
        </w:rPr>
        <w:t>, 358 N.C. 605, 622-23, 599 S.E.2d 365, 381 (2004) (“</w:t>
      </w:r>
      <w:r w:rsidR="009F35E8" w:rsidRPr="00B2757A">
        <w:rPr>
          <w:rFonts w:ascii="Times New Roman" w:hAnsi="Times New Roman"/>
          <w:i/>
          <w:snapToGrid/>
          <w:color w:val="000000"/>
        </w:rPr>
        <w:t>Leandro II</w:t>
      </w:r>
      <w:r w:rsidR="009F35E8" w:rsidRPr="00B2757A">
        <w:rPr>
          <w:rFonts w:ascii="Times New Roman" w:hAnsi="Times New Roman"/>
          <w:snapToGrid/>
          <w:color w:val="000000"/>
        </w:rPr>
        <w:t xml:space="preserve">”).  </w:t>
      </w:r>
    </w:p>
    <w:p w:rsidR="00B2757A" w:rsidRPr="00B2757A" w:rsidRDefault="00B2757A" w:rsidP="00B2757A">
      <w:pPr>
        <w:pStyle w:val="ListParagraph"/>
        <w:numPr>
          <w:ilvl w:val="0"/>
          <w:numId w:val="7"/>
        </w:numPr>
        <w:autoSpaceDE w:val="0"/>
        <w:autoSpaceDN w:val="0"/>
        <w:adjustRightInd w:val="0"/>
        <w:snapToGrid w:val="0"/>
        <w:spacing w:line="480" w:lineRule="auto"/>
        <w:ind w:left="0" w:firstLine="720"/>
        <w:jc w:val="both"/>
        <w:rPr>
          <w:rFonts w:ascii="Times New Roman" w:hAnsi="Times New Roman"/>
        </w:rPr>
      </w:pPr>
      <w:r w:rsidRPr="00B2757A">
        <w:rPr>
          <w:rFonts w:ascii="Times New Roman" w:hAnsi="Times New Roman"/>
          <w:snapToGrid/>
          <w:color w:val="000000"/>
        </w:rPr>
        <w:t xml:space="preserve">Indeed, every time the trial court has attempted to dictate a specific remedy in this case, the Supreme Court has rejected it.  Following the trial in this matter, Judge Manning entered orders directing that the State to (1) expand the provision of pre-kindergarten services to at-risk children in Hoke County; and (2) lower the age of compulsory education. The Court in </w:t>
      </w:r>
      <w:r w:rsidRPr="00B2757A">
        <w:rPr>
          <w:rFonts w:ascii="Times New Roman" w:hAnsi="Times New Roman"/>
          <w:i/>
          <w:snapToGrid/>
          <w:color w:val="000000"/>
        </w:rPr>
        <w:t>Leandro II</w:t>
      </w:r>
      <w:r w:rsidRPr="00B2757A">
        <w:rPr>
          <w:rFonts w:ascii="Times New Roman" w:hAnsi="Times New Roman"/>
          <w:snapToGrid/>
          <w:color w:val="000000"/>
        </w:rPr>
        <w:t xml:space="preserve"> held that both of those orders were in error both because (1) decisions over education constituted </w:t>
      </w:r>
      <w:proofErr w:type="spellStart"/>
      <w:r w:rsidRPr="00B2757A">
        <w:rPr>
          <w:rFonts w:ascii="Times New Roman" w:hAnsi="Times New Roman"/>
          <w:snapToGrid/>
          <w:color w:val="000000"/>
        </w:rPr>
        <w:t>nonjusticiable</w:t>
      </w:r>
      <w:proofErr w:type="spellEnd"/>
      <w:r w:rsidRPr="00B2757A">
        <w:rPr>
          <w:rFonts w:ascii="Times New Roman" w:hAnsi="Times New Roman"/>
          <w:snapToGrid/>
          <w:color w:val="000000"/>
        </w:rPr>
        <w:t xml:space="preserve"> political questions that are committed to the General Assembly; and (2) there was </w:t>
      </w:r>
      <w:r w:rsidRPr="00B2757A">
        <w:rPr>
          <w:rFonts w:ascii="Times New Roman" w:hAnsi="Times New Roman"/>
          <w:snapToGrid/>
          <w:color w:val="000000"/>
        </w:rPr>
        <w:lastRenderedPageBreak/>
        <w:t xml:space="preserve">insufficient evidence to show that such remedies were “either the only qualifying means or even the only known qualifying means” to ensure children receive a sound basic education. </w:t>
      </w:r>
      <w:r w:rsidR="00D34C96">
        <w:rPr>
          <w:rFonts w:ascii="Times New Roman" w:hAnsi="Times New Roman"/>
          <w:snapToGrid/>
          <w:color w:val="000000"/>
        </w:rPr>
        <w:t xml:space="preserve"> </w:t>
      </w:r>
      <w:r w:rsidRPr="00B2757A">
        <w:rPr>
          <w:rFonts w:ascii="Times New Roman" w:hAnsi="Times New Roman"/>
          <w:i/>
        </w:rPr>
        <w:t>Leandro II</w:t>
      </w:r>
      <w:r w:rsidRPr="00B2757A">
        <w:rPr>
          <w:rFonts w:ascii="Times New Roman" w:hAnsi="Times New Roman"/>
          <w:i/>
        </w:rPr>
        <w:fldChar w:fldCharType="begin"/>
      </w:r>
      <w:r w:rsidRPr="00B2757A">
        <w:rPr>
          <w:rFonts w:ascii="Times New Roman" w:hAnsi="Times New Roman"/>
        </w:rPr>
        <w:instrText xml:space="preserve"> TA \s "Hoke County Board of Education v. State, 358 N.C. 605, 599 S.E.2d 365 (2004)" </w:instrText>
      </w:r>
      <w:r w:rsidRPr="00B2757A">
        <w:rPr>
          <w:rFonts w:ascii="Times New Roman" w:hAnsi="Times New Roman"/>
          <w:i/>
        </w:rPr>
        <w:fldChar w:fldCharType="end"/>
      </w:r>
      <w:r w:rsidRPr="00B2757A">
        <w:rPr>
          <w:rFonts w:ascii="Times New Roman" w:hAnsi="Times New Roman"/>
        </w:rPr>
        <w:t>, 358 N.C. at 639-44.</w:t>
      </w:r>
    </w:p>
    <w:p w:rsidR="00B2757A" w:rsidRPr="00B2757A" w:rsidRDefault="00B2757A" w:rsidP="00B2757A">
      <w:pPr>
        <w:pStyle w:val="ListParagraph"/>
        <w:numPr>
          <w:ilvl w:val="0"/>
          <w:numId w:val="7"/>
        </w:numPr>
        <w:autoSpaceDE w:val="0"/>
        <w:autoSpaceDN w:val="0"/>
        <w:adjustRightInd w:val="0"/>
        <w:snapToGrid w:val="0"/>
        <w:spacing w:line="480" w:lineRule="auto"/>
        <w:ind w:left="0" w:firstLine="720"/>
        <w:jc w:val="both"/>
        <w:rPr>
          <w:rFonts w:ascii="Times New Roman" w:hAnsi="Times New Roman"/>
        </w:rPr>
      </w:pPr>
      <w:r w:rsidRPr="00B2757A">
        <w:rPr>
          <w:rFonts w:ascii="Times New Roman" w:hAnsi="Times New Roman"/>
          <w:snapToGrid/>
          <w:color w:val="000000"/>
        </w:rPr>
        <w:t xml:space="preserve">In contrast to the limited remedies the Court rejected in </w:t>
      </w:r>
      <w:r w:rsidRPr="00B2757A">
        <w:rPr>
          <w:rFonts w:ascii="Times New Roman" w:hAnsi="Times New Roman"/>
          <w:i/>
          <w:snapToGrid/>
          <w:color w:val="000000"/>
        </w:rPr>
        <w:t>Leandro II</w:t>
      </w:r>
      <w:r w:rsidRPr="00B2757A">
        <w:rPr>
          <w:rFonts w:ascii="Times New Roman" w:hAnsi="Times New Roman"/>
          <w:snapToGrid/>
          <w:color w:val="000000"/>
        </w:rPr>
        <w:t xml:space="preserve">, the CRP </w:t>
      </w:r>
      <w:r w:rsidRPr="00B2757A">
        <w:rPr>
          <w:rFonts w:ascii="Times New Roman" w:hAnsi="Times New Roman"/>
        </w:rPr>
        <w:t xml:space="preserve">purports to dictate virtually every aspect of educational policy (and spending), over an 8-year period—prescribing measures that address everything from teacher recruitment and training, to educational performance measures, curriculum content, staffing models, teacher compensation, revision of the State’s educational finance system and funding formulas, expansion of pre-K programs, and early college courses.  According to OSBM, the CRP includes more than 40 action items that require funding in Years 2 and 3 of the plan alone. </w:t>
      </w:r>
    </w:p>
    <w:p w:rsidR="00B2757A" w:rsidRPr="00B2757A" w:rsidRDefault="00B2757A" w:rsidP="00B2757A">
      <w:pPr>
        <w:pStyle w:val="ListParagraph"/>
        <w:numPr>
          <w:ilvl w:val="0"/>
          <w:numId w:val="7"/>
        </w:numPr>
        <w:autoSpaceDE w:val="0"/>
        <w:autoSpaceDN w:val="0"/>
        <w:adjustRightInd w:val="0"/>
        <w:snapToGrid w:val="0"/>
        <w:spacing w:line="480" w:lineRule="auto"/>
        <w:ind w:left="0" w:firstLine="720"/>
        <w:jc w:val="both"/>
        <w:rPr>
          <w:rFonts w:ascii="Times New Roman" w:hAnsi="Times New Roman"/>
        </w:rPr>
      </w:pPr>
      <w:r w:rsidRPr="00B2757A">
        <w:rPr>
          <w:rFonts w:ascii="Times New Roman" w:hAnsi="Times New Roman"/>
        </w:rPr>
        <w:t xml:space="preserve">At present, because Plaintiffs have never challenged the Budget Act—which as an act of the General Assembly is presumptively valid—they have never offered any evidence to show that the Budget Act is somehow insufficient to provide a sound basic education or that the remaining items under the CRP are the “only qualifying means” to do so.   They also have not presented the Court with any evidence to assess whether there are less intrusive alternatives to remedy their claims before it takes the extraordinary (and potentially unconstitutional) step of ordering funds out of the treasury. </w:t>
      </w:r>
    </w:p>
    <w:p w:rsidR="00195860" w:rsidRPr="00B2757A" w:rsidRDefault="00195860" w:rsidP="00195860">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snapToGrid/>
          <w:color w:val="000000"/>
        </w:rPr>
        <w:t xml:space="preserve">In </w:t>
      </w:r>
      <w:r w:rsidRPr="00B2757A">
        <w:rPr>
          <w:rFonts w:ascii="Times New Roman" w:hAnsi="Times New Roman"/>
          <w:i/>
          <w:snapToGrid/>
          <w:color w:val="000000"/>
        </w:rPr>
        <w:t>Leandro II</w:t>
      </w:r>
      <w:r w:rsidR="009F35E8" w:rsidRPr="00B2757A">
        <w:rPr>
          <w:rFonts w:ascii="Times New Roman" w:hAnsi="Times New Roman"/>
          <w:snapToGrid/>
          <w:color w:val="000000"/>
        </w:rPr>
        <w:t>, the Supreme Court noted the trial court “demonstrated admirable restraint by refusing to dictate how existing problems should be approached and resolved.”</w:t>
      </w:r>
      <w:r w:rsidR="009F35E8" w:rsidRPr="00B2757A">
        <w:rPr>
          <w:rFonts w:ascii="Times New Roman" w:hAnsi="Times New Roman"/>
          <w:i/>
          <w:color w:val="000000"/>
        </w:rPr>
        <w:t xml:space="preserve">  Id.</w:t>
      </w:r>
      <w:r w:rsidR="009F35E8" w:rsidRPr="00B2757A">
        <w:rPr>
          <w:rFonts w:ascii="Times New Roman" w:hAnsi="Times New Roman"/>
          <w:color w:val="000000"/>
        </w:rPr>
        <w:t xml:space="preserve"> at 638, 599 S.E.2d at 390-91.  Recognizing its “limitations in providing specific remedies for violations committed by other government branches in service to a subject matter, such as public school education, that is within their primary domain,” </w:t>
      </w:r>
      <w:r w:rsidR="009F35E8" w:rsidRPr="00B2757A">
        <w:rPr>
          <w:rFonts w:ascii="Times New Roman" w:hAnsi="Times New Roman"/>
          <w:i/>
          <w:snapToGrid/>
          <w:color w:val="000000"/>
        </w:rPr>
        <w:t>Id.</w:t>
      </w:r>
      <w:r w:rsidR="009F35E8" w:rsidRPr="00B2757A">
        <w:rPr>
          <w:rFonts w:ascii="Times New Roman" w:hAnsi="Times New Roman"/>
          <w:snapToGrid/>
          <w:color w:val="000000"/>
        </w:rPr>
        <w:t xml:space="preserve"> at 645, 599 S.E.2d at 395, t</w:t>
      </w:r>
      <w:r w:rsidR="009F35E8" w:rsidRPr="00B2757A">
        <w:rPr>
          <w:rFonts w:ascii="Times New Roman" w:hAnsi="Times New Roman"/>
          <w:color w:val="000000"/>
        </w:rPr>
        <w:t xml:space="preserve">he Supreme Court remanded the case there “ultimately into the hands of the legislative and executive </w:t>
      </w:r>
      <w:r w:rsidR="009F35E8" w:rsidRPr="00B2757A">
        <w:rPr>
          <w:rFonts w:ascii="Times New Roman" w:hAnsi="Times New Roman"/>
          <w:color w:val="000000"/>
        </w:rPr>
        <w:lastRenderedPageBreak/>
        <w:t xml:space="preserve">branches.”  </w:t>
      </w:r>
      <w:r w:rsidR="009F35E8" w:rsidRPr="00B2757A">
        <w:rPr>
          <w:rFonts w:ascii="Times New Roman" w:hAnsi="Times New Roman"/>
          <w:i/>
          <w:snapToGrid/>
          <w:color w:val="000000"/>
        </w:rPr>
        <w:t>Id.</w:t>
      </w:r>
      <w:r w:rsidR="009F35E8" w:rsidRPr="00B2757A">
        <w:rPr>
          <w:rFonts w:ascii="Times New Roman" w:hAnsi="Times New Roman"/>
          <w:snapToGrid/>
          <w:color w:val="000000"/>
        </w:rPr>
        <w:t xml:space="preserve"> at 649, 599 S.E.2d at 397.  </w:t>
      </w:r>
      <w:r w:rsidR="009F35E8" w:rsidRPr="00B2757A">
        <w:rPr>
          <w:rFonts w:ascii="Times New Roman" w:hAnsi="Times New Roman"/>
          <w:color w:val="000000"/>
        </w:rPr>
        <w:t xml:space="preserve">Today, this Court exercises the same restraint in yielding to the legislature—who has now passed a budget with this Court’s rulings in this case in mind—and not substituting the judiciary’s judgment for that of the legislature.  </w:t>
      </w:r>
      <w:r w:rsidR="009F35E8" w:rsidRPr="00B2757A">
        <w:rPr>
          <w:rFonts w:ascii="Times New Roman" w:hAnsi="Times New Roman"/>
          <w:i/>
          <w:color w:val="000000"/>
        </w:rPr>
        <w:t>Rhyne</w:t>
      </w:r>
      <w:r w:rsidR="009F35E8" w:rsidRPr="00B2757A">
        <w:rPr>
          <w:rFonts w:ascii="Times New Roman" w:hAnsi="Times New Roman"/>
          <w:color w:val="000000"/>
        </w:rPr>
        <w:t xml:space="preserve">, 358 N.C. at 190, 594 S.E.3d at21 (“We assume that when the General Assembly acts, it does </w:t>
      </w:r>
      <w:proofErr w:type="gramStart"/>
      <w:r w:rsidR="009F35E8" w:rsidRPr="00B2757A">
        <w:rPr>
          <w:rFonts w:ascii="Times New Roman" w:hAnsi="Times New Roman"/>
          <w:color w:val="000000"/>
        </w:rPr>
        <w:t>so .</w:t>
      </w:r>
      <w:proofErr w:type="gramEnd"/>
      <w:r w:rsidR="009F35E8" w:rsidRPr="00B2757A">
        <w:rPr>
          <w:rFonts w:ascii="Times New Roman" w:hAnsi="Times New Roman"/>
          <w:color w:val="000000"/>
        </w:rPr>
        <w:t xml:space="preserve"> . . with full knowledge of relevant decisions by this Court.”).  </w:t>
      </w:r>
    </w:p>
    <w:p w:rsidR="00B764F6" w:rsidRPr="00B2757A" w:rsidRDefault="004D79E1" w:rsidP="00B764F6">
      <w:pPr>
        <w:pStyle w:val="ListParagraph"/>
        <w:numPr>
          <w:ilvl w:val="0"/>
          <w:numId w:val="7"/>
        </w:numPr>
        <w:spacing w:line="480" w:lineRule="auto"/>
        <w:ind w:left="0" w:firstLine="720"/>
        <w:jc w:val="both"/>
        <w:rPr>
          <w:rFonts w:ascii="Times New Roman" w:hAnsi="Times New Roman"/>
        </w:rPr>
      </w:pPr>
      <w:r w:rsidRPr="00B2757A">
        <w:rPr>
          <w:rFonts w:ascii="Times New Roman" w:hAnsi="Times New Roman"/>
          <w:snapToGrid/>
          <w:color w:val="000000"/>
        </w:rPr>
        <w:t xml:space="preserve">Plaintiffs have not established, and the Court is not convinced, that any action items from the Comprehensive Remedial Plan </w:t>
      </w:r>
      <w:r w:rsidR="001E5DC9" w:rsidRPr="00B2757A">
        <w:rPr>
          <w:rFonts w:ascii="Times New Roman" w:hAnsi="Times New Roman"/>
          <w:snapToGrid/>
          <w:color w:val="000000"/>
        </w:rPr>
        <w:t xml:space="preserve">that are </w:t>
      </w:r>
      <w:r w:rsidRPr="00B2757A">
        <w:rPr>
          <w:rFonts w:ascii="Times New Roman" w:hAnsi="Times New Roman"/>
          <w:snapToGrid/>
          <w:color w:val="000000"/>
        </w:rPr>
        <w:t xml:space="preserve">not currently or projected to be funded by the enacted budget are necessary to provide the opportunity for a sound basic education in North Carolina. </w:t>
      </w:r>
      <w:r w:rsidR="00B764F6" w:rsidRPr="00B2757A">
        <w:rPr>
          <w:rFonts w:ascii="Times New Roman" w:hAnsi="Times New Roman"/>
          <w:snapToGrid/>
          <w:color w:val="000000"/>
        </w:rPr>
        <w:t xml:space="preserve"> This is especially true given that the General Assembly, made up of elected representatives of the citizens of this State, has made legislative decisions, compromises, and conclusions with respect to which areas of educational need General Fund appropriations should be made.  The Governor endorsed these decisions by affixing his signature to the Budget Act on 18 November 2022.  Therefore, it appears that the branches of government tasked with establishing a balanced budget for the State—the legislative and executive—have agreed that the educational needs funded and those not funded are the most necessary for the current citizens of North Carolina.  </w:t>
      </w:r>
      <w:r w:rsidR="00B764F6" w:rsidRPr="00B2757A">
        <w:rPr>
          <w:rFonts w:ascii="Times New Roman" w:hAnsi="Times New Roman"/>
          <w:i/>
          <w:snapToGrid/>
          <w:color w:val="000000"/>
        </w:rPr>
        <w:t>Leandro I</w:t>
      </w:r>
      <w:r w:rsidR="00B764F6" w:rsidRPr="00B2757A">
        <w:rPr>
          <w:rFonts w:ascii="Times New Roman" w:hAnsi="Times New Roman"/>
          <w:snapToGrid/>
          <w:color w:val="000000"/>
        </w:rPr>
        <w:t xml:space="preserve">, 346 N.C. at 348, 488 S.E.2d at 255-56 (“We conclude that at the time this provision was originally written in 1868 providing for a ‘general and uniform’ system but without the equal opportunities clause, the intent of the framers was that every child </w:t>
      </w:r>
      <w:proofErr w:type="gramStart"/>
      <w:r w:rsidR="00B764F6" w:rsidRPr="00B2757A">
        <w:rPr>
          <w:rFonts w:ascii="Times New Roman" w:hAnsi="Times New Roman"/>
          <w:snapToGrid/>
          <w:color w:val="000000"/>
        </w:rPr>
        <w:t>have</w:t>
      </w:r>
      <w:proofErr w:type="gramEnd"/>
      <w:r w:rsidR="00B764F6" w:rsidRPr="00B2757A">
        <w:rPr>
          <w:rFonts w:ascii="Times New Roman" w:hAnsi="Times New Roman"/>
          <w:snapToGrid/>
          <w:color w:val="000000"/>
        </w:rPr>
        <w:t xml:space="preserve"> a fundamental right to a sound basic education which would prepare the child to participate fully in society as it existed in his or her lifetime. The 1970 amendment adding the equal opportunities clause ensured that all the children of this state would enjoy this right.” (internal citations omitted)).  This act of the General Assembly is presumed valid, </w:t>
      </w:r>
      <w:r w:rsidR="00B764F6" w:rsidRPr="00B2757A">
        <w:rPr>
          <w:rFonts w:ascii="Times New Roman" w:hAnsi="Times New Roman"/>
          <w:i/>
          <w:snapToGrid/>
          <w:color w:val="000000"/>
        </w:rPr>
        <w:t>Cooper</w:t>
      </w:r>
      <w:r w:rsidR="00B764F6" w:rsidRPr="00B2757A">
        <w:rPr>
          <w:rFonts w:ascii="Times New Roman" w:hAnsi="Times New Roman"/>
          <w:i/>
          <w:snapToGrid/>
          <w:color w:val="000000"/>
        </w:rPr>
        <w:fldChar w:fldCharType="begin"/>
      </w:r>
      <w:r w:rsidR="00B764F6" w:rsidRPr="00B2757A">
        <w:rPr>
          <w:rFonts w:ascii="Times New Roman" w:hAnsi="Times New Roman"/>
          <w:snapToGrid/>
          <w:color w:val="000000"/>
        </w:rPr>
        <w:instrText xml:space="preserve"> TA \s "Cooper v. Berger, 376 N.C. 22, 852 S.E.2d 46 (2020)" </w:instrText>
      </w:r>
      <w:r w:rsidR="00B764F6" w:rsidRPr="00B2757A">
        <w:rPr>
          <w:rFonts w:ascii="Times New Roman" w:hAnsi="Times New Roman"/>
          <w:i/>
          <w:snapToGrid/>
          <w:color w:val="000000"/>
        </w:rPr>
        <w:fldChar w:fldCharType="end"/>
      </w:r>
      <w:r w:rsidR="00B764F6" w:rsidRPr="00B2757A">
        <w:rPr>
          <w:rFonts w:ascii="Times New Roman" w:hAnsi="Times New Roman"/>
          <w:i/>
          <w:snapToGrid/>
          <w:color w:val="000000"/>
        </w:rPr>
        <w:t xml:space="preserve">, </w:t>
      </w:r>
      <w:r w:rsidR="00B764F6" w:rsidRPr="00B2757A">
        <w:rPr>
          <w:rFonts w:ascii="Times New Roman" w:hAnsi="Times New Roman"/>
          <w:snapToGrid/>
          <w:color w:val="000000"/>
        </w:rPr>
        <w:t xml:space="preserve">376 N.C. at 33, 852 S.E.2d at 56, and, as it has not been challenged, the Court makes no finding today otherwise.  </w:t>
      </w:r>
    </w:p>
    <w:p w:rsidR="00D15648" w:rsidRPr="00B2757A" w:rsidRDefault="001E5DC9" w:rsidP="009F35E8">
      <w:pPr>
        <w:spacing w:line="480" w:lineRule="auto"/>
        <w:ind w:firstLine="720"/>
        <w:contextualSpacing/>
        <w:jc w:val="both"/>
        <w:rPr>
          <w:rFonts w:ascii="Times New Roman" w:hAnsi="Times New Roman"/>
        </w:rPr>
      </w:pPr>
      <w:r w:rsidRPr="00B2757A">
        <w:rPr>
          <w:rFonts w:ascii="Times New Roman" w:hAnsi="Times New Roman"/>
        </w:rPr>
        <w:lastRenderedPageBreak/>
        <w:t xml:space="preserve">IT IS THEREFORE ORDERED THAT, in accordance with the above findings of fact and conclusions of law, the 10 November 2021 Order is </w:t>
      </w:r>
      <w:r w:rsidRPr="00B2757A">
        <w:rPr>
          <w:rFonts w:ascii="Times New Roman" w:hAnsi="Times New Roman"/>
          <w:b/>
        </w:rPr>
        <w:t>HEREBY VACATED</w:t>
      </w:r>
      <w:r w:rsidRPr="00B2757A">
        <w:rPr>
          <w:rFonts w:ascii="Times New Roman" w:hAnsi="Times New Roman"/>
        </w:rPr>
        <w:t xml:space="preserve">.   </w:t>
      </w:r>
      <w:r w:rsidR="00D15648" w:rsidRPr="00B2757A">
        <w:rPr>
          <w:rFonts w:ascii="Times New Roman" w:hAnsi="Times New Roman"/>
        </w:rPr>
        <w:t xml:space="preserve">In the alternative, the Court finds that Plaintiffs have not met their burden of proving the current Budget Act fails to provide what is necessary for a sound basic education, and thus, for this alternative reason, the 10 November 2021 Order is </w:t>
      </w:r>
      <w:r w:rsidR="00D15648" w:rsidRPr="00B2757A">
        <w:rPr>
          <w:rFonts w:ascii="Times New Roman" w:hAnsi="Times New Roman"/>
          <w:b/>
        </w:rPr>
        <w:t>HEREBY AMENDED</w:t>
      </w:r>
      <w:r w:rsidR="00D15648" w:rsidRPr="00B2757A">
        <w:rPr>
          <w:rFonts w:ascii="Times New Roman" w:hAnsi="Times New Roman"/>
        </w:rPr>
        <w:t xml:space="preserve"> to include the following findings of fact and conclusions of law:</w:t>
      </w:r>
    </w:p>
    <w:p w:rsidR="00D15648" w:rsidRPr="00B2757A" w:rsidRDefault="00D15648" w:rsidP="00A05DC5">
      <w:pPr>
        <w:spacing w:line="480" w:lineRule="auto"/>
        <w:ind w:left="990" w:hanging="360"/>
        <w:contextualSpacing/>
        <w:jc w:val="both"/>
        <w:rPr>
          <w:rFonts w:ascii="Times New Roman" w:hAnsi="Times New Roman"/>
        </w:rPr>
      </w:pPr>
      <w:r w:rsidRPr="00B2757A">
        <w:rPr>
          <w:rFonts w:ascii="Times New Roman" w:hAnsi="Times New Roman"/>
        </w:rPr>
        <w:t xml:space="preserve">(a) a Budget Act has been passed by the legislature; </w:t>
      </w:r>
    </w:p>
    <w:p w:rsidR="00861A29" w:rsidRPr="00B2757A" w:rsidRDefault="00D15648" w:rsidP="00861A29">
      <w:pPr>
        <w:spacing w:line="480" w:lineRule="auto"/>
        <w:ind w:left="990" w:hanging="360"/>
        <w:contextualSpacing/>
        <w:jc w:val="both"/>
        <w:rPr>
          <w:rFonts w:ascii="Times New Roman" w:hAnsi="Times New Roman"/>
        </w:rPr>
      </w:pPr>
      <w:r w:rsidRPr="00B2757A">
        <w:rPr>
          <w:rFonts w:ascii="Times New Roman" w:hAnsi="Times New Roman"/>
        </w:rPr>
        <w:t xml:space="preserve">(b) </w:t>
      </w:r>
      <w:r w:rsidR="00861A29" w:rsidRPr="00B2757A">
        <w:rPr>
          <w:rFonts w:ascii="Times New Roman" w:hAnsi="Times New Roman"/>
        </w:rPr>
        <w:t>the Court is without the authority to order any appropriation from the General Fund in light of a passed Budget Act;</w:t>
      </w:r>
    </w:p>
    <w:p w:rsidR="00D15648" w:rsidRPr="00B2757A" w:rsidRDefault="00861A29" w:rsidP="00861A29">
      <w:pPr>
        <w:spacing w:line="480" w:lineRule="auto"/>
        <w:ind w:left="990" w:hanging="360"/>
        <w:contextualSpacing/>
        <w:jc w:val="both"/>
        <w:rPr>
          <w:rFonts w:ascii="Times New Roman" w:hAnsi="Times New Roman"/>
        </w:rPr>
      </w:pPr>
      <w:r w:rsidRPr="00B2757A">
        <w:rPr>
          <w:rFonts w:ascii="Times New Roman" w:hAnsi="Times New Roman"/>
        </w:rPr>
        <w:t xml:space="preserve">(c) the </w:t>
      </w:r>
      <w:r w:rsidR="00D15648" w:rsidRPr="00B2757A">
        <w:rPr>
          <w:rFonts w:ascii="Times New Roman" w:hAnsi="Times New Roman"/>
        </w:rPr>
        <w:t xml:space="preserve">passage of the Budget Act does not leave available funds in the General Fund for appropriation by the Court; </w:t>
      </w:r>
    </w:p>
    <w:p w:rsidR="00D15648" w:rsidRPr="00B2757A" w:rsidRDefault="00861A29" w:rsidP="00A05DC5">
      <w:pPr>
        <w:spacing w:line="480" w:lineRule="auto"/>
        <w:ind w:left="990" w:hanging="360"/>
        <w:contextualSpacing/>
        <w:jc w:val="both"/>
        <w:rPr>
          <w:rFonts w:ascii="Times New Roman" w:hAnsi="Times New Roman"/>
        </w:rPr>
      </w:pPr>
      <w:r w:rsidRPr="00B2757A">
        <w:rPr>
          <w:rFonts w:ascii="Times New Roman" w:hAnsi="Times New Roman"/>
        </w:rPr>
        <w:t>(d</w:t>
      </w:r>
      <w:r w:rsidR="00D15648" w:rsidRPr="00B2757A">
        <w:rPr>
          <w:rFonts w:ascii="Times New Roman" w:hAnsi="Times New Roman"/>
        </w:rPr>
        <w:t>) if money</w:t>
      </w:r>
      <w:r w:rsidR="00D34C96">
        <w:rPr>
          <w:rFonts w:ascii="Times New Roman" w:hAnsi="Times New Roman"/>
        </w:rPr>
        <w:t>s</w:t>
      </w:r>
      <w:bookmarkStart w:id="0" w:name="_GoBack"/>
      <w:bookmarkEnd w:id="0"/>
      <w:r w:rsidR="00D15648" w:rsidRPr="00B2757A">
        <w:rPr>
          <w:rFonts w:ascii="Times New Roman" w:hAnsi="Times New Roman"/>
        </w:rPr>
        <w:t xml:space="preserve"> were transferred out of the Treasury, as originally directed by the November Order, it would likely cause a revenue shortfall in FY 2022-23;</w:t>
      </w:r>
    </w:p>
    <w:p w:rsidR="002D0B29" w:rsidRPr="00B2757A" w:rsidRDefault="002D0B29" w:rsidP="00A05DC5">
      <w:pPr>
        <w:spacing w:line="480" w:lineRule="auto"/>
        <w:ind w:left="990" w:hanging="360"/>
        <w:contextualSpacing/>
        <w:jc w:val="both"/>
        <w:rPr>
          <w:rFonts w:ascii="Times New Roman" w:hAnsi="Times New Roman"/>
        </w:rPr>
      </w:pPr>
      <w:r w:rsidRPr="00B2757A">
        <w:rPr>
          <w:rFonts w:ascii="Times New Roman" w:hAnsi="Times New Roman"/>
        </w:rPr>
        <w:t>(e</w:t>
      </w:r>
      <w:r w:rsidR="00D15648" w:rsidRPr="00B2757A">
        <w:rPr>
          <w:rFonts w:ascii="Times New Roman" w:hAnsi="Times New Roman"/>
        </w:rPr>
        <w:t xml:space="preserve">) </w:t>
      </w:r>
      <w:r w:rsidRPr="00B2757A">
        <w:rPr>
          <w:rFonts w:ascii="Times New Roman" w:hAnsi="Times New Roman"/>
        </w:rPr>
        <w:t xml:space="preserve">a judicially-ordered transfer of </w:t>
      </w:r>
      <w:r w:rsidR="006E692D">
        <w:rPr>
          <w:rFonts w:ascii="Times New Roman" w:hAnsi="Times New Roman"/>
        </w:rPr>
        <w:t>moneys</w:t>
      </w:r>
      <w:r w:rsidRPr="00B2757A">
        <w:rPr>
          <w:rFonts w:ascii="Times New Roman" w:hAnsi="Times New Roman"/>
        </w:rPr>
        <w:t xml:space="preserve"> out of the General Fund at this stage would infringe upon the separation of powers between the State’s branches of government, and specifically the legislature’s constitutional power to make appropriations;</w:t>
      </w:r>
    </w:p>
    <w:p w:rsidR="00D15648" w:rsidRPr="00B2757A" w:rsidRDefault="002D0B29" w:rsidP="00A05DC5">
      <w:pPr>
        <w:spacing w:line="480" w:lineRule="auto"/>
        <w:ind w:left="990" w:hanging="360"/>
        <w:contextualSpacing/>
        <w:jc w:val="both"/>
        <w:rPr>
          <w:rFonts w:ascii="Times New Roman" w:hAnsi="Times New Roman"/>
        </w:rPr>
      </w:pPr>
      <w:r w:rsidRPr="00B2757A">
        <w:rPr>
          <w:rFonts w:ascii="Times New Roman" w:hAnsi="Times New Roman"/>
        </w:rPr>
        <w:t xml:space="preserve">(f) </w:t>
      </w:r>
      <w:r w:rsidR="00D15648" w:rsidRPr="00B2757A">
        <w:rPr>
          <w:rFonts w:ascii="Times New Roman" w:hAnsi="Times New Roman"/>
        </w:rPr>
        <w:t xml:space="preserve">the Budget Act funds </w:t>
      </w:r>
      <w:r w:rsidRPr="00B2757A">
        <w:rPr>
          <w:rFonts w:ascii="Times New Roman" w:hAnsi="Times New Roman"/>
        </w:rPr>
        <w:t>approximately $1.1 billion</w:t>
      </w:r>
      <w:r w:rsidR="00D15648" w:rsidRPr="00B2757A">
        <w:rPr>
          <w:rFonts w:ascii="Times New Roman" w:hAnsi="Times New Roman"/>
        </w:rPr>
        <w:t xml:space="preserve"> of </w:t>
      </w:r>
      <w:r w:rsidRPr="00B2757A">
        <w:rPr>
          <w:rFonts w:ascii="Times New Roman" w:hAnsi="Times New Roman"/>
        </w:rPr>
        <w:t>Years Two and Three of the</w:t>
      </w:r>
      <w:r w:rsidR="00D15648" w:rsidRPr="00B2757A">
        <w:rPr>
          <w:rFonts w:ascii="Times New Roman" w:hAnsi="Times New Roman"/>
        </w:rPr>
        <w:t xml:space="preserve"> Comprehensive Remedial Plan; </w:t>
      </w:r>
    </w:p>
    <w:p w:rsidR="00D15648" w:rsidRPr="00B2757A" w:rsidRDefault="002D0B29" w:rsidP="00A05DC5">
      <w:pPr>
        <w:spacing w:line="480" w:lineRule="auto"/>
        <w:ind w:left="990" w:hanging="360"/>
        <w:contextualSpacing/>
        <w:jc w:val="both"/>
        <w:rPr>
          <w:rFonts w:ascii="Times New Roman" w:hAnsi="Times New Roman"/>
        </w:rPr>
      </w:pPr>
      <w:r w:rsidRPr="00B2757A">
        <w:rPr>
          <w:rFonts w:ascii="Times New Roman" w:hAnsi="Times New Roman"/>
        </w:rPr>
        <w:t>(g</w:t>
      </w:r>
      <w:r w:rsidR="00D15648" w:rsidRPr="00B2757A">
        <w:rPr>
          <w:rFonts w:ascii="Times New Roman" w:hAnsi="Times New Roman"/>
        </w:rPr>
        <w:t>) the Budget Act funds educational initiatives from sources other than the General Fund;</w:t>
      </w:r>
    </w:p>
    <w:p w:rsidR="009F35E8" w:rsidRPr="00B2757A" w:rsidRDefault="002D0B29" w:rsidP="00A05DC5">
      <w:pPr>
        <w:spacing w:line="480" w:lineRule="auto"/>
        <w:ind w:left="990" w:hanging="360"/>
        <w:contextualSpacing/>
        <w:jc w:val="both"/>
        <w:rPr>
          <w:rFonts w:ascii="Times New Roman" w:hAnsi="Times New Roman"/>
        </w:rPr>
      </w:pPr>
      <w:r w:rsidRPr="00B2757A">
        <w:rPr>
          <w:rFonts w:ascii="Times New Roman" w:hAnsi="Times New Roman"/>
        </w:rPr>
        <w:t>(h</w:t>
      </w:r>
      <w:r w:rsidR="00D15648" w:rsidRPr="00B2757A">
        <w:rPr>
          <w:rFonts w:ascii="Times New Roman" w:hAnsi="Times New Roman"/>
        </w:rPr>
        <w:t xml:space="preserve">) the Budget Act contains funding for educational initiatives found important by the General Assembly that are not in </w:t>
      </w:r>
      <w:r w:rsidR="00A05DC5" w:rsidRPr="00B2757A">
        <w:rPr>
          <w:rFonts w:ascii="Times New Roman" w:hAnsi="Times New Roman"/>
        </w:rPr>
        <w:t>the Comprehensive Remedial Plan.</w:t>
      </w:r>
    </w:p>
    <w:p w:rsidR="00A05DC5" w:rsidRPr="00B2757A" w:rsidRDefault="00A05DC5" w:rsidP="00A05DC5">
      <w:pPr>
        <w:spacing w:line="480" w:lineRule="auto"/>
        <w:contextualSpacing/>
        <w:jc w:val="both"/>
        <w:rPr>
          <w:rFonts w:ascii="Times New Roman" w:hAnsi="Times New Roman"/>
        </w:rPr>
      </w:pPr>
      <w:r w:rsidRPr="00B2757A">
        <w:rPr>
          <w:rFonts w:ascii="Times New Roman" w:hAnsi="Times New Roman"/>
        </w:rPr>
        <w:lastRenderedPageBreak/>
        <w:tab/>
      </w:r>
      <w:r w:rsidRPr="00B2757A">
        <w:rPr>
          <w:rFonts w:ascii="Times New Roman" w:hAnsi="Times New Roman"/>
          <w:b/>
        </w:rPr>
        <w:t xml:space="preserve">IT IS THEREFORE </w:t>
      </w:r>
      <w:r w:rsidR="001E5DC9" w:rsidRPr="00B2757A">
        <w:rPr>
          <w:rFonts w:ascii="Times New Roman" w:hAnsi="Times New Roman"/>
          <w:b/>
        </w:rPr>
        <w:t xml:space="preserve">ALTERNATIVELY </w:t>
      </w:r>
      <w:r w:rsidRPr="00B2757A">
        <w:rPr>
          <w:rFonts w:ascii="Times New Roman" w:hAnsi="Times New Roman"/>
          <w:b/>
        </w:rPr>
        <w:t>ORDERED THAT</w:t>
      </w:r>
      <w:r w:rsidRPr="00B2757A">
        <w:rPr>
          <w:rFonts w:ascii="Times New Roman" w:hAnsi="Times New Roman"/>
        </w:rPr>
        <w:t xml:space="preserve"> the 10 November 2021 Order be </w:t>
      </w:r>
      <w:r w:rsidRPr="00B2757A">
        <w:rPr>
          <w:rFonts w:ascii="Times New Roman" w:hAnsi="Times New Roman"/>
          <w:b/>
        </w:rPr>
        <w:t>AMENDED</w:t>
      </w:r>
      <w:r w:rsidRPr="00B2757A">
        <w:rPr>
          <w:rFonts w:ascii="Times New Roman" w:hAnsi="Times New Roman"/>
        </w:rPr>
        <w:t xml:space="preserve"> as specified above, and</w:t>
      </w:r>
      <w:r w:rsidR="001E5DC9" w:rsidRPr="00B2757A">
        <w:rPr>
          <w:rFonts w:ascii="Times New Roman" w:hAnsi="Times New Roman"/>
        </w:rPr>
        <w:t>,</w:t>
      </w:r>
      <w:r w:rsidRPr="00B2757A">
        <w:rPr>
          <w:rFonts w:ascii="Times New Roman" w:hAnsi="Times New Roman"/>
        </w:rPr>
        <w:t xml:space="preserve"> with those amendments, be </w:t>
      </w:r>
      <w:r w:rsidRPr="00B2757A">
        <w:rPr>
          <w:rFonts w:ascii="Times New Roman" w:hAnsi="Times New Roman"/>
          <w:b/>
        </w:rPr>
        <w:t>VACATED</w:t>
      </w:r>
      <w:r w:rsidRPr="00B2757A">
        <w:rPr>
          <w:rFonts w:ascii="Times New Roman" w:hAnsi="Times New Roman"/>
        </w:rPr>
        <w:t xml:space="preserve"> in its entirety.  </w:t>
      </w:r>
    </w:p>
    <w:p w:rsidR="00A05DC5" w:rsidRPr="00B2757A" w:rsidRDefault="00A05DC5" w:rsidP="00A05DC5">
      <w:pPr>
        <w:spacing w:line="480" w:lineRule="auto"/>
        <w:contextualSpacing/>
        <w:jc w:val="both"/>
        <w:rPr>
          <w:rFonts w:ascii="Times New Roman" w:hAnsi="Times New Roman"/>
        </w:rPr>
      </w:pPr>
    </w:p>
    <w:p w:rsidR="00A05DC5" w:rsidRPr="00B2757A" w:rsidRDefault="00A05DC5" w:rsidP="00A05DC5">
      <w:pPr>
        <w:contextualSpacing/>
        <w:jc w:val="both"/>
        <w:rPr>
          <w:rFonts w:ascii="Times New Roman" w:hAnsi="Times New Roman"/>
        </w:rPr>
      </w:pP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u w:val="single"/>
        </w:rPr>
        <w:tab/>
      </w:r>
      <w:r w:rsidRPr="00B2757A">
        <w:rPr>
          <w:rFonts w:ascii="Times New Roman" w:hAnsi="Times New Roman"/>
          <w:u w:val="single"/>
        </w:rPr>
        <w:tab/>
      </w:r>
      <w:r w:rsidRPr="00B2757A">
        <w:rPr>
          <w:rFonts w:ascii="Times New Roman" w:hAnsi="Times New Roman"/>
          <w:u w:val="single"/>
        </w:rPr>
        <w:tab/>
      </w:r>
      <w:r w:rsidRPr="00B2757A">
        <w:rPr>
          <w:rFonts w:ascii="Times New Roman" w:hAnsi="Times New Roman"/>
          <w:u w:val="single"/>
        </w:rPr>
        <w:tab/>
      </w:r>
      <w:r w:rsidRPr="00B2757A">
        <w:rPr>
          <w:rFonts w:ascii="Times New Roman" w:hAnsi="Times New Roman"/>
          <w:u w:val="single"/>
        </w:rPr>
        <w:tab/>
      </w:r>
    </w:p>
    <w:p w:rsidR="00A05DC5" w:rsidRPr="00B2757A" w:rsidRDefault="00A05DC5" w:rsidP="00A05DC5">
      <w:pPr>
        <w:contextualSpacing/>
        <w:jc w:val="both"/>
        <w:rPr>
          <w:rFonts w:ascii="Times New Roman" w:hAnsi="Times New Roman"/>
        </w:rPr>
      </w:pP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rPr>
        <w:tab/>
        <w:t>The Honorable Michael L. Robinson</w:t>
      </w:r>
    </w:p>
    <w:p w:rsidR="00A05DC5" w:rsidRPr="00B2757A" w:rsidRDefault="00A05DC5" w:rsidP="00A05DC5">
      <w:pPr>
        <w:contextualSpacing/>
        <w:jc w:val="both"/>
        <w:rPr>
          <w:rFonts w:ascii="Times New Roman" w:hAnsi="Times New Roman"/>
        </w:rPr>
      </w:pP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rPr>
        <w:tab/>
      </w:r>
      <w:r w:rsidRPr="00B2757A">
        <w:rPr>
          <w:rFonts w:ascii="Times New Roman" w:hAnsi="Times New Roman"/>
        </w:rPr>
        <w:tab/>
        <w:t>Special Superior Court Judge for Complex Business Cases</w:t>
      </w:r>
    </w:p>
    <w:p w:rsidR="008D5DF8" w:rsidRPr="00B2757A" w:rsidRDefault="008D5DF8" w:rsidP="00A67453">
      <w:pPr>
        <w:jc w:val="both"/>
        <w:rPr>
          <w:rFonts w:ascii="Times New Roman" w:hAnsi="Times New Roman"/>
        </w:rPr>
      </w:pPr>
    </w:p>
    <w:sectPr w:rsidR="008D5DF8" w:rsidRPr="00B275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15" w:rsidRDefault="00B86415" w:rsidP="00E55503">
      <w:r>
        <w:separator/>
      </w:r>
    </w:p>
  </w:endnote>
  <w:endnote w:type="continuationSeparator" w:id="0">
    <w:p w:rsidR="00B86415" w:rsidRDefault="00B86415" w:rsidP="00E5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466257"/>
      <w:docPartObj>
        <w:docPartGallery w:val="Page Numbers (Bottom of Page)"/>
        <w:docPartUnique/>
      </w:docPartObj>
    </w:sdtPr>
    <w:sdtEndPr>
      <w:rPr>
        <w:rFonts w:ascii="Times New Roman" w:hAnsi="Times New Roman"/>
        <w:noProof/>
      </w:rPr>
    </w:sdtEndPr>
    <w:sdtContent>
      <w:p w:rsidR="0007215C" w:rsidRPr="00CB56E0" w:rsidRDefault="0007215C">
        <w:pPr>
          <w:pStyle w:val="Footer"/>
          <w:jc w:val="center"/>
          <w:rPr>
            <w:rFonts w:ascii="Times New Roman" w:hAnsi="Times New Roman"/>
          </w:rPr>
        </w:pPr>
        <w:r w:rsidRPr="00CB56E0">
          <w:rPr>
            <w:rFonts w:ascii="Times New Roman" w:hAnsi="Times New Roman"/>
          </w:rPr>
          <w:fldChar w:fldCharType="begin"/>
        </w:r>
        <w:r w:rsidRPr="00CB56E0">
          <w:rPr>
            <w:rFonts w:ascii="Times New Roman" w:hAnsi="Times New Roman"/>
          </w:rPr>
          <w:instrText xml:space="preserve"> PAGE   \* MERGEFORMAT </w:instrText>
        </w:r>
        <w:r w:rsidRPr="00CB56E0">
          <w:rPr>
            <w:rFonts w:ascii="Times New Roman" w:hAnsi="Times New Roman"/>
          </w:rPr>
          <w:fldChar w:fldCharType="separate"/>
        </w:r>
        <w:r w:rsidR="00D34C96">
          <w:rPr>
            <w:rFonts w:ascii="Times New Roman" w:hAnsi="Times New Roman"/>
            <w:noProof/>
          </w:rPr>
          <w:t>20</w:t>
        </w:r>
        <w:r w:rsidRPr="00CB56E0">
          <w:rPr>
            <w:rFonts w:ascii="Times New Roman" w:hAnsi="Times New Roman"/>
            <w:noProof/>
          </w:rPr>
          <w:fldChar w:fldCharType="end"/>
        </w:r>
      </w:p>
    </w:sdtContent>
  </w:sdt>
  <w:p w:rsidR="0007215C" w:rsidRDefault="0007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15" w:rsidRDefault="00B86415" w:rsidP="00E55503">
      <w:r>
        <w:separator/>
      </w:r>
    </w:p>
  </w:footnote>
  <w:footnote w:type="continuationSeparator" w:id="0">
    <w:p w:rsidR="00B86415" w:rsidRDefault="00B86415" w:rsidP="00E55503">
      <w:r>
        <w:continuationSeparator/>
      </w:r>
    </w:p>
  </w:footnote>
  <w:footnote w:id="1">
    <w:p w:rsidR="0007215C" w:rsidRDefault="0007215C" w:rsidP="007E1DFF">
      <w:pPr>
        <w:pStyle w:val="FootnoteText"/>
        <w:jc w:val="both"/>
      </w:pPr>
      <w:r>
        <w:rPr>
          <w:rStyle w:val="FootnoteReference"/>
        </w:rPr>
        <w:footnoteRef/>
      </w:r>
      <w:r>
        <w:t xml:space="preserve"> </w:t>
      </w:r>
      <w:r>
        <w:tab/>
        <w:t xml:space="preserve">The parties agree that the order issued by the Honorable W. David Lee which is the subject of this matter on remand was dated 10 November 2021.  </w:t>
      </w:r>
    </w:p>
  </w:footnote>
  <w:footnote w:id="2">
    <w:p w:rsidR="0007215C" w:rsidRPr="00CF1BF3" w:rsidRDefault="0007215C" w:rsidP="00E55503">
      <w:pPr>
        <w:pStyle w:val="FootnoteText"/>
        <w:jc w:val="both"/>
        <w:rPr>
          <w:sz w:val="24"/>
          <w:szCs w:val="24"/>
        </w:rPr>
      </w:pPr>
      <w:r w:rsidRPr="00CF1BF3">
        <w:rPr>
          <w:rStyle w:val="FootnoteReference"/>
          <w:sz w:val="24"/>
          <w:szCs w:val="24"/>
        </w:rPr>
        <w:footnoteRef/>
      </w:r>
      <w:r w:rsidRPr="00CF1BF3">
        <w:rPr>
          <w:sz w:val="24"/>
          <w:szCs w:val="24"/>
        </w:rPr>
        <w:t xml:space="preserve"> </w:t>
      </w:r>
      <w:r w:rsidRPr="00CF1BF3">
        <w:rPr>
          <w:sz w:val="24"/>
          <w:szCs w:val="24"/>
        </w:rPr>
        <w:tab/>
        <w:t xml:space="preserve">For this holding, the Court cited </w:t>
      </w:r>
      <w:r w:rsidRPr="00CF1BF3">
        <w:rPr>
          <w:i/>
          <w:sz w:val="24"/>
          <w:szCs w:val="24"/>
        </w:rPr>
        <w:t>Alamance County</w:t>
      </w:r>
      <w:r w:rsidRPr="00CF1BF3">
        <w:rPr>
          <w:sz w:val="24"/>
          <w:szCs w:val="24"/>
        </w:rPr>
        <w:t>.  Some clarification regarding that case is necessary, however, to avoid presenting a misleading notion.  In</w:t>
      </w:r>
      <w:r w:rsidRPr="00CF1BF3">
        <w:rPr>
          <w:i/>
          <w:sz w:val="24"/>
          <w:szCs w:val="24"/>
        </w:rPr>
        <w:t xml:space="preserve"> Alamance County</w:t>
      </w:r>
      <w:r w:rsidRPr="00CF1BF3">
        <w:rPr>
          <w:sz w:val="24"/>
          <w:szCs w:val="24"/>
        </w:rPr>
        <w:t xml:space="preserve">, the Supreme Court noted courts have inherent authority to do what is reasonably necessary in the face of “inaction by those exercising legislative authority,” </w:t>
      </w:r>
      <w:r w:rsidRPr="00CF1BF3">
        <w:rPr>
          <w:i/>
          <w:sz w:val="24"/>
          <w:szCs w:val="24"/>
        </w:rPr>
        <w:t>Alamance County</w:t>
      </w:r>
      <w:r w:rsidRPr="00CF1BF3">
        <w:rPr>
          <w:sz w:val="24"/>
          <w:szCs w:val="24"/>
        </w:rPr>
        <w:t>, 329 N.C. at 99.  In that case, however, the legislature’s inaction threatened the operation of another co-equal branch of state government, thereby implicating separation of powers principles.  Specifically, separation of powers requires that the judiciary be adequately funded and failure by the legislature to act “fiscally undermine[s] the integrity of the judiciary.”  In other words, the legislature cannot fail to act and deprive the judiciary of the funds it needs to operate.  The issue and analysis is different where the integrity of the judiciary is not at issue.  Here, public education is at issue.  Education is explicitly within the Constitutional purview of the General Assembly.  N.C. Const. Art. IX(2)(</w:t>
      </w:r>
      <w:proofErr w:type="spellStart"/>
      <w:r w:rsidRPr="00CF1BF3">
        <w:rPr>
          <w:sz w:val="24"/>
          <w:szCs w:val="24"/>
        </w:rPr>
        <w:t>i</w:t>
      </w:r>
      <w:proofErr w:type="spellEnd"/>
      <w:r w:rsidRPr="00CF1BF3">
        <w:rPr>
          <w:sz w:val="24"/>
          <w:szCs w:val="24"/>
        </w:rPr>
        <w:t xml:space="preserve">) (“The </w:t>
      </w:r>
      <w:r w:rsidRPr="00CF1BF3">
        <w:rPr>
          <w:i/>
          <w:sz w:val="24"/>
          <w:szCs w:val="24"/>
        </w:rPr>
        <w:t>General Assembly</w:t>
      </w:r>
      <w:r w:rsidRPr="00CF1BF3">
        <w:rPr>
          <w:sz w:val="24"/>
          <w:szCs w:val="24"/>
        </w:rPr>
        <w:t xml:space="preserve"> shall provide by taxation and otherwise for a general and uniform system of free public </w:t>
      </w:r>
      <w:proofErr w:type="gramStart"/>
      <w:r w:rsidRPr="00CF1BF3">
        <w:rPr>
          <w:sz w:val="24"/>
          <w:szCs w:val="24"/>
        </w:rPr>
        <w:t>schools .</w:t>
      </w:r>
      <w:proofErr w:type="gramEnd"/>
      <w:r w:rsidRPr="00CF1BF3">
        <w:rPr>
          <w:sz w:val="24"/>
          <w:szCs w:val="24"/>
        </w:rPr>
        <w:t xml:space="preserve"> . . .”) (emphasis added); </w:t>
      </w:r>
      <w:r w:rsidRPr="00CF1BF3">
        <w:rPr>
          <w:i/>
          <w:sz w:val="24"/>
          <w:szCs w:val="24"/>
        </w:rPr>
        <w:t>Leandro v. North Carolina</w:t>
      </w:r>
      <w:r w:rsidRPr="00CF1BF3">
        <w:rPr>
          <w:sz w:val="24"/>
          <w:szCs w:val="24"/>
        </w:rPr>
        <w:t>, 346 N.C. 336, 353 (1997) (“</w:t>
      </w:r>
      <w:r w:rsidRPr="00CF1BF3">
        <w:rPr>
          <w:i/>
          <w:sz w:val="24"/>
          <w:szCs w:val="24"/>
        </w:rPr>
        <w:t>Leandro I</w:t>
      </w:r>
      <w:r w:rsidRPr="00CF1BF3">
        <w:rPr>
          <w:sz w:val="24"/>
          <w:szCs w:val="24"/>
        </w:rPr>
        <w:t xml:space="preserve">”) (“[W]e </w:t>
      </w:r>
      <w:proofErr w:type="gramStart"/>
      <w:r w:rsidRPr="00CF1BF3">
        <w:rPr>
          <w:sz w:val="24"/>
          <w:szCs w:val="24"/>
        </w:rPr>
        <w:t>conclude</w:t>
      </w:r>
      <w:proofErr w:type="gramEnd"/>
      <w:r w:rsidRPr="00CF1BF3">
        <w:rPr>
          <w:sz w:val="24"/>
          <w:szCs w:val="24"/>
        </w:rPr>
        <w:t xml:space="preserve"> that the General Assembly . . . has the duty of providing the children of every school district with access to a sound basic education.”).  This distinction, however, is not relevant to this Order because the legislature has now acted.</w:t>
      </w:r>
      <w:r w:rsidRPr="00CF1BF3">
        <w:rPr>
          <w:i/>
          <w:sz w:val="24"/>
          <w:szCs w:val="24"/>
        </w:rPr>
        <w:t xml:space="preserve"> </w:t>
      </w:r>
    </w:p>
    <w:p w:rsidR="0007215C" w:rsidRPr="00E55503" w:rsidRDefault="000721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B4EA08"/>
    <w:lvl w:ilvl="0">
      <w:start w:val="1"/>
      <w:numFmt w:val="decimal"/>
      <w:pStyle w:val="ListNumber"/>
      <w:lvlText w:val="%1."/>
      <w:lvlJc w:val="left"/>
      <w:pPr>
        <w:tabs>
          <w:tab w:val="num" w:pos="360"/>
        </w:tabs>
        <w:ind w:left="360" w:hanging="360"/>
      </w:pPr>
    </w:lvl>
  </w:abstractNum>
  <w:abstractNum w:abstractNumId="1" w15:restartNumberingAfterBreak="0">
    <w:nsid w:val="0199012C"/>
    <w:multiLevelType w:val="hybridMultilevel"/>
    <w:tmpl w:val="917A64A0"/>
    <w:lvl w:ilvl="0" w:tplc="2EC4A06A">
      <w:start w:val="1"/>
      <w:numFmt w:val="decimal"/>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320F"/>
    <w:multiLevelType w:val="hybridMultilevel"/>
    <w:tmpl w:val="CC741E66"/>
    <w:lvl w:ilvl="0" w:tplc="5A862954">
      <w:start w:val="1"/>
      <w:numFmt w:val="decimal"/>
      <w:lvlText w:val="%1."/>
      <w:lvlJc w:val="left"/>
      <w:pPr>
        <w:ind w:left="720" w:hanging="360"/>
      </w:pPr>
      <w:rPr>
        <w:rFonts w:ascii="CG Times" w:hAnsi="CG Time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01C65"/>
    <w:multiLevelType w:val="hybridMultilevel"/>
    <w:tmpl w:val="F75C2694"/>
    <w:lvl w:ilvl="0" w:tplc="DFF2C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90480"/>
    <w:multiLevelType w:val="hybridMultilevel"/>
    <w:tmpl w:val="10062EE2"/>
    <w:lvl w:ilvl="0" w:tplc="699C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E16EF"/>
    <w:multiLevelType w:val="hybridMultilevel"/>
    <w:tmpl w:val="10062EE2"/>
    <w:lvl w:ilvl="0" w:tplc="699C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604DDB"/>
    <w:multiLevelType w:val="hybridMultilevel"/>
    <w:tmpl w:val="43849F08"/>
    <w:lvl w:ilvl="0" w:tplc="F21A6D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3B1A28"/>
    <w:multiLevelType w:val="hybridMultilevel"/>
    <w:tmpl w:val="C8CAA286"/>
    <w:lvl w:ilvl="0" w:tplc="32741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74B08"/>
    <w:multiLevelType w:val="hybridMultilevel"/>
    <w:tmpl w:val="5B68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E6D7C"/>
    <w:multiLevelType w:val="hybridMultilevel"/>
    <w:tmpl w:val="10062EE2"/>
    <w:lvl w:ilvl="0" w:tplc="699C08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9"/>
  </w:num>
  <w:num w:numId="5">
    <w:abstractNumId w:val="4"/>
  </w:num>
  <w:num w:numId="6">
    <w:abstractNumId w:val="5"/>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A3"/>
    <w:rsid w:val="000002F3"/>
    <w:rsid w:val="0007215C"/>
    <w:rsid w:val="00093BCA"/>
    <w:rsid w:val="00104473"/>
    <w:rsid w:val="00134BCB"/>
    <w:rsid w:val="00191F12"/>
    <w:rsid w:val="00195860"/>
    <w:rsid w:val="001B7482"/>
    <w:rsid w:val="001C5F97"/>
    <w:rsid w:val="001E5DC9"/>
    <w:rsid w:val="0020615A"/>
    <w:rsid w:val="00246DA5"/>
    <w:rsid w:val="002767B7"/>
    <w:rsid w:val="002814D0"/>
    <w:rsid w:val="002D0B29"/>
    <w:rsid w:val="002F6F42"/>
    <w:rsid w:val="00315087"/>
    <w:rsid w:val="00332742"/>
    <w:rsid w:val="004608BB"/>
    <w:rsid w:val="00474608"/>
    <w:rsid w:val="004D0C51"/>
    <w:rsid w:val="004D79E1"/>
    <w:rsid w:val="005013BE"/>
    <w:rsid w:val="00502AA3"/>
    <w:rsid w:val="00504BC7"/>
    <w:rsid w:val="005417F9"/>
    <w:rsid w:val="00595E8E"/>
    <w:rsid w:val="005D3089"/>
    <w:rsid w:val="00607B92"/>
    <w:rsid w:val="006D4492"/>
    <w:rsid w:val="006D4890"/>
    <w:rsid w:val="006E5595"/>
    <w:rsid w:val="006E692D"/>
    <w:rsid w:val="007326E3"/>
    <w:rsid w:val="007B3AA2"/>
    <w:rsid w:val="007E1DFF"/>
    <w:rsid w:val="007F0A9F"/>
    <w:rsid w:val="007F3B3C"/>
    <w:rsid w:val="00861A29"/>
    <w:rsid w:val="008668B4"/>
    <w:rsid w:val="008D5DF8"/>
    <w:rsid w:val="008E0E9B"/>
    <w:rsid w:val="00910F48"/>
    <w:rsid w:val="0092077F"/>
    <w:rsid w:val="009C181F"/>
    <w:rsid w:val="009F35E8"/>
    <w:rsid w:val="00A0589A"/>
    <w:rsid w:val="00A05DC5"/>
    <w:rsid w:val="00A3405F"/>
    <w:rsid w:val="00A67453"/>
    <w:rsid w:val="00A942BE"/>
    <w:rsid w:val="00AA0E97"/>
    <w:rsid w:val="00AD39DA"/>
    <w:rsid w:val="00AD5E53"/>
    <w:rsid w:val="00B2373D"/>
    <w:rsid w:val="00B2757A"/>
    <w:rsid w:val="00B5750A"/>
    <w:rsid w:val="00B74C0C"/>
    <w:rsid w:val="00B764F6"/>
    <w:rsid w:val="00B86415"/>
    <w:rsid w:val="00B91687"/>
    <w:rsid w:val="00BC233D"/>
    <w:rsid w:val="00C0281F"/>
    <w:rsid w:val="00C11CD9"/>
    <w:rsid w:val="00C168BA"/>
    <w:rsid w:val="00CA0A02"/>
    <w:rsid w:val="00CA255D"/>
    <w:rsid w:val="00CB09A5"/>
    <w:rsid w:val="00CB56E0"/>
    <w:rsid w:val="00CE2817"/>
    <w:rsid w:val="00CF1BF3"/>
    <w:rsid w:val="00D15648"/>
    <w:rsid w:val="00D30EA7"/>
    <w:rsid w:val="00D34C96"/>
    <w:rsid w:val="00DB30F8"/>
    <w:rsid w:val="00DE59A5"/>
    <w:rsid w:val="00E55503"/>
    <w:rsid w:val="00E56471"/>
    <w:rsid w:val="00E752AF"/>
    <w:rsid w:val="00E839B2"/>
    <w:rsid w:val="00E96883"/>
    <w:rsid w:val="00F3674D"/>
    <w:rsid w:val="00FB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9A1E"/>
  <w15:chartTrackingRefBased/>
  <w15:docId w15:val="{81950D45-0480-433E-BDE3-B7C77D94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A3"/>
    <w:pPr>
      <w:spacing w:after="0" w:line="240" w:lineRule="auto"/>
    </w:pPr>
    <w:rPr>
      <w:rFonts w:ascii="CG Times" w:eastAsia="Times New Roman" w:hAnsi="CG Times" w:cs="Times New Roman"/>
      <w:snapToGrid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A3"/>
    <w:pPr>
      <w:ind w:left="720"/>
      <w:contextualSpacing/>
    </w:pPr>
  </w:style>
  <w:style w:type="paragraph" w:styleId="FootnoteText">
    <w:name w:val="footnote text"/>
    <w:basedOn w:val="Normal"/>
    <w:link w:val="FootnoteTextChar"/>
    <w:uiPriority w:val="99"/>
    <w:semiHidden/>
    <w:unhideWhenUsed/>
    <w:rsid w:val="00E55503"/>
    <w:rPr>
      <w:sz w:val="20"/>
      <w:szCs w:val="20"/>
    </w:rPr>
  </w:style>
  <w:style w:type="character" w:customStyle="1" w:styleId="FootnoteTextChar">
    <w:name w:val="Footnote Text Char"/>
    <w:basedOn w:val="DefaultParagraphFont"/>
    <w:link w:val="FootnoteText"/>
    <w:uiPriority w:val="99"/>
    <w:semiHidden/>
    <w:rsid w:val="00E55503"/>
    <w:rPr>
      <w:rFonts w:ascii="CG Times" w:eastAsia="Times New Roman" w:hAnsi="CG Times" w:cs="Times New Roman"/>
      <w:snapToGrid w:val="0"/>
      <w:sz w:val="20"/>
      <w:szCs w:val="20"/>
    </w:rPr>
  </w:style>
  <w:style w:type="character" w:styleId="FootnoteReference">
    <w:name w:val="footnote reference"/>
    <w:basedOn w:val="DefaultParagraphFont"/>
    <w:uiPriority w:val="99"/>
    <w:semiHidden/>
    <w:unhideWhenUsed/>
    <w:rsid w:val="00E55503"/>
    <w:rPr>
      <w:vertAlign w:val="superscript"/>
    </w:rPr>
  </w:style>
  <w:style w:type="paragraph" w:styleId="Header">
    <w:name w:val="header"/>
    <w:basedOn w:val="Normal"/>
    <w:link w:val="HeaderChar"/>
    <w:uiPriority w:val="99"/>
    <w:unhideWhenUsed/>
    <w:rsid w:val="00CB56E0"/>
    <w:pPr>
      <w:tabs>
        <w:tab w:val="center" w:pos="4680"/>
        <w:tab w:val="right" w:pos="9360"/>
      </w:tabs>
    </w:pPr>
  </w:style>
  <w:style w:type="character" w:customStyle="1" w:styleId="HeaderChar">
    <w:name w:val="Header Char"/>
    <w:basedOn w:val="DefaultParagraphFont"/>
    <w:link w:val="Header"/>
    <w:uiPriority w:val="99"/>
    <w:rsid w:val="00CB56E0"/>
    <w:rPr>
      <w:rFonts w:ascii="CG Times" w:eastAsia="Times New Roman" w:hAnsi="CG Times" w:cs="Times New Roman"/>
      <w:snapToGrid w:val="0"/>
      <w:sz w:val="24"/>
      <w:szCs w:val="24"/>
    </w:rPr>
  </w:style>
  <w:style w:type="paragraph" w:styleId="Footer">
    <w:name w:val="footer"/>
    <w:basedOn w:val="Normal"/>
    <w:link w:val="FooterChar"/>
    <w:uiPriority w:val="99"/>
    <w:unhideWhenUsed/>
    <w:rsid w:val="00CB56E0"/>
    <w:pPr>
      <w:tabs>
        <w:tab w:val="center" w:pos="4680"/>
        <w:tab w:val="right" w:pos="9360"/>
      </w:tabs>
    </w:pPr>
  </w:style>
  <w:style w:type="character" w:customStyle="1" w:styleId="FooterChar">
    <w:name w:val="Footer Char"/>
    <w:basedOn w:val="DefaultParagraphFont"/>
    <w:link w:val="Footer"/>
    <w:uiPriority w:val="99"/>
    <w:rsid w:val="00CB56E0"/>
    <w:rPr>
      <w:rFonts w:ascii="CG Times" w:eastAsia="Times New Roman" w:hAnsi="CG Times" w:cs="Times New Roman"/>
      <w:snapToGrid w:val="0"/>
      <w:sz w:val="24"/>
      <w:szCs w:val="24"/>
    </w:rPr>
  </w:style>
  <w:style w:type="paragraph" w:styleId="BalloonText">
    <w:name w:val="Balloon Text"/>
    <w:basedOn w:val="Normal"/>
    <w:link w:val="BalloonTextChar"/>
    <w:uiPriority w:val="99"/>
    <w:semiHidden/>
    <w:unhideWhenUsed/>
    <w:rsid w:val="00460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BB"/>
    <w:rPr>
      <w:rFonts w:ascii="Segoe UI" w:eastAsia="Times New Roman" w:hAnsi="Segoe UI" w:cs="Segoe UI"/>
      <w:snapToGrid w:val="0"/>
      <w:sz w:val="18"/>
      <w:szCs w:val="18"/>
    </w:rPr>
  </w:style>
  <w:style w:type="paragraph" w:styleId="TOC2">
    <w:name w:val="toc 2"/>
    <w:basedOn w:val="Normal"/>
    <w:next w:val="TOC3"/>
    <w:rsid w:val="00CF1BF3"/>
    <w:pPr>
      <w:keepLines/>
      <w:tabs>
        <w:tab w:val="right" w:leader="dot" w:pos="9360"/>
      </w:tabs>
      <w:ind w:left="1080" w:right="720" w:hanging="720"/>
    </w:pPr>
  </w:style>
  <w:style w:type="paragraph" w:styleId="ListNumber">
    <w:name w:val="List Number"/>
    <w:basedOn w:val="Normal"/>
    <w:semiHidden/>
    <w:rsid w:val="00CF1BF3"/>
    <w:pPr>
      <w:numPr>
        <w:numId w:val="10"/>
      </w:numPr>
    </w:pPr>
  </w:style>
  <w:style w:type="paragraph" w:styleId="TOC3">
    <w:name w:val="toc 3"/>
    <w:basedOn w:val="Normal"/>
    <w:next w:val="Normal"/>
    <w:autoRedefine/>
    <w:uiPriority w:val="39"/>
    <w:semiHidden/>
    <w:unhideWhenUsed/>
    <w:rsid w:val="00CF1B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CF9D-1B0D-4606-AB42-98C59F16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5845</Words>
  <Characters>31214</Characters>
  <Application>Microsoft Office Word</Application>
  <DocSecurity>0</DocSecurity>
  <Lines>637</Lines>
  <Paragraphs>179</Paragraphs>
  <ScaleCrop>false</ScaleCrop>
  <HeadingPairs>
    <vt:vector size="2" baseType="variant">
      <vt:variant>
        <vt:lpstr>Title</vt:lpstr>
      </vt:variant>
      <vt:variant>
        <vt:i4>1</vt:i4>
      </vt:variant>
    </vt:vector>
  </HeadingPair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2022-04-08T20:42:00Z</dcterms:created>
  <dcterms:modified xsi:type="dcterms:W3CDTF">2022-04-08T20:42:00Z</dcterms:modified>
</cp:coreProperties>
</file>