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9360"/>
      </w:tblGrid>
      <w:tr w:rsidR="004A2169" w:rsidRPr="00A32DD3" w14:paraId="62BC36FD" w14:textId="77777777">
        <w:trPr>
          <w:trHeight w:val="828"/>
        </w:trPr>
        <w:tc>
          <w:tcPr>
            <w:tcW w:w="9576" w:type="dxa"/>
          </w:tcPr>
          <w:p w14:paraId="4CAD4319" w14:textId="77777777" w:rsidR="00ED2CB6" w:rsidRPr="00A32DD3" w:rsidRDefault="000033A7">
            <w:pPr>
              <w:widowControl w:val="0"/>
              <w:autoSpaceDE w:val="0"/>
              <w:autoSpaceDN w:val="0"/>
              <w:jc w:val="both"/>
              <w:rPr>
                <w:rFonts w:ascii="Century Schoolbook" w:hAnsi="Century Schoolbook"/>
              </w:rPr>
            </w:pPr>
            <w:r w:rsidRPr="00A32DD3">
              <w:rPr>
                <w:rFonts w:ascii="Century Schoolbook" w:hAnsi="Century Schoolbook"/>
              </w:rPr>
              <w:t>STATE OF NORTH CAROLINA</w:t>
            </w:r>
            <w:r w:rsidRPr="00A32DD3">
              <w:rPr>
                <w:rFonts w:ascii="Century Schoolbook" w:hAnsi="Century Schoolbook"/>
              </w:rPr>
              <w:tab/>
              <w:t>IN THE GENERAL COURT OF JUSTICE</w:t>
            </w:r>
          </w:p>
          <w:p w14:paraId="2DF3FA30" w14:textId="77777777" w:rsidR="00ED2CB6" w:rsidRPr="00A32DD3" w:rsidRDefault="000033A7">
            <w:pPr>
              <w:widowControl w:val="0"/>
              <w:autoSpaceDE w:val="0"/>
              <w:autoSpaceDN w:val="0"/>
              <w:jc w:val="both"/>
              <w:rPr>
                <w:rFonts w:ascii="Century Schoolbook" w:hAnsi="Century Schoolbook"/>
              </w:rPr>
            </w:pPr>
            <w:r w:rsidRPr="00A32DD3">
              <w:rPr>
                <w:rFonts w:ascii="Century Schoolbook" w:hAnsi="Century Schoolbook"/>
              </w:rPr>
              <w:tab/>
            </w:r>
            <w:r w:rsidRPr="00A32DD3">
              <w:rPr>
                <w:rFonts w:ascii="Century Schoolbook" w:hAnsi="Century Schoolbook"/>
              </w:rPr>
              <w:tab/>
            </w:r>
            <w:r w:rsidRPr="00A32DD3">
              <w:rPr>
                <w:rFonts w:ascii="Century Schoolbook" w:hAnsi="Century Schoolbook"/>
              </w:rPr>
              <w:tab/>
            </w:r>
            <w:r w:rsidRPr="00A32DD3">
              <w:rPr>
                <w:rFonts w:ascii="Century Schoolbook" w:hAnsi="Century Schoolbook"/>
              </w:rPr>
              <w:tab/>
            </w:r>
            <w:r w:rsidRPr="00A32DD3">
              <w:rPr>
                <w:rFonts w:ascii="Century Schoolbook" w:hAnsi="Century Schoolbook"/>
              </w:rPr>
              <w:tab/>
            </w:r>
            <w:r w:rsidRPr="00A32DD3">
              <w:rPr>
                <w:rFonts w:ascii="Century Schoolbook" w:hAnsi="Century Schoolbook"/>
              </w:rPr>
              <w:tab/>
              <w:t xml:space="preserve">        SUPERIOR COURT DIVISION</w:t>
            </w:r>
          </w:p>
          <w:p w14:paraId="03D1D0B1" w14:textId="6FFB27F1" w:rsidR="00ED2CB6" w:rsidRPr="00A32DD3" w:rsidRDefault="000B7F47">
            <w:pPr>
              <w:widowControl w:val="0"/>
              <w:autoSpaceDE w:val="0"/>
              <w:autoSpaceDN w:val="0"/>
              <w:jc w:val="both"/>
              <w:rPr>
                <w:rFonts w:ascii="Century Schoolbook" w:hAnsi="Century Schoolbook"/>
              </w:rPr>
            </w:pPr>
            <w:r w:rsidRPr="00A32DD3">
              <w:rPr>
                <w:rFonts w:ascii="Century Schoolbook" w:hAnsi="Century Schoolbook"/>
              </w:rPr>
              <w:t>WAKE</w:t>
            </w:r>
            <w:r w:rsidR="000033A7" w:rsidRPr="00A32DD3">
              <w:rPr>
                <w:rFonts w:ascii="Century Schoolbook" w:hAnsi="Century Schoolbook"/>
              </w:rPr>
              <w:t xml:space="preserve"> </w:t>
            </w:r>
            <w:r w:rsidR="00290296" w:rsidRPr="00A32DD3">
              <w:rPr>
                <w:rFonts w:ascii="Century Schoolbook" w:hAnsi="Century Schoolbook"/>
              </w:rPr>
              <w:t>COUNTY</w:t>
            </w:r>
            <w:r w:rsidR="00290296" w:rsidRPr="00A32DD3">
              <w:rPr>
                <w:rFonts w:ascii="Century Schoolbook" w:hAnsi="Century Schoolbook"/>
              </w:rPr>
              <w:tab/>
            </w:r>
            <w:r w:rsidR="000033A7" w:rsidRPr="00A32DD3">
              <w:rPr>
                <w:rFonts w:ascii="Century Schoolbook" w:hAnsi="Century Schoolbook"/>
              </w:rPr>
              <w:tab/>
            </w:r>
            <w:r w:rsidRPr="00A32DD3">
              <w:rPr>
                <w:rFonts w:ascii="Century Schoolbook" w:hAnsi="Century Schoolbook"/>
              </w:rPr>
              <w:tab/>
            </w:r>
            <w:r w:rsidR="00290296" w:rsidRPr="00A32DD3">
              <w:rPr>
                <w:rFonts w:ascii="Century Schoolbook" w:hAnsi="Century Schoolbook"/>
              </w:rPr>
              <w:tab/>
              <w:t xml:space="preserve">                       </w:t>
            </w:r>
            <w:r w:rsidRPr="00A32DD3">
              <w:rPr>
                <w:rFonts w:ascii="Century Schoolbook" w:hAnsi="Century Schoolbook"/>
              </w:rPr>
              <w:t>95</w:t>
            </w:r>
            <w:r w:rsidR="000033A7" w:rsidRPr="00A32DD3">
              <w:rPr>
                <w:rFonts w:ascii="Century Schoolbook" w:hAnsi="Century Schoolbook"/>
              </w:rPr>
              <w:t xml:space="preserve"> </w:t>
            </w:r>
            <w:r w:rsidR="00290296" w:rsidRPr="00A32DD3">
              <w:rPr>
                <w:rFonts w:ascii="Century Schoolbook" w:hAnsi="Century Schoolbook"/>
              </w:rPr>
              <w:t>CVS</w:t>
            </w:r>
            <w:r w:rsidR="000033A7" w:rsidRPr="00A32DD3">
              <w:rPr>
                <w:rFonts w:ascii="Century Schoolbook" w:hAnsi="Century Schoolbook"/>
              </w:rPr>
              <w:t xml:space="preserve"> </w:t>
            </w:r>
            <w:r w:rsidRPr="00A32DD3">
              <w:rPr>
                <w:rFonts w:ascii="Century Schoolbook" w:hAnsi="Century Schoolbook"/>
              </w:rPr>
              <w:t>1158</w:t>
            </w:r>
          </w:p>
          <w:p w14:paraId="233FD432" w14:textId="77777777" w:rsidR="00583846" w:rsidRPr="00A32DD3" w:rsidRDefault="00583846">
            <w:pPr>
              <w:widowControl w:val="0"/>
              <w:autoSpaceDE w:val="0"/>
              <w:autoSpaceDN w:val="0"/>
              <w:jc w:val="both"/>
              <w:rPr>
                <w:rFonts w:ascii="Century Schoolbook" w:hAnsi="Century Schoolbook"/>
              </w:rPr>
            </w:pPr>
          </w:p>
        </w:tc>
      </w:tr>
    </w:tbl>
    <w:tbl>
      <w:tblPr>
        <w:tblW w:w="9198" w:type="dxa"/>
        <w:tblBorders>
          <w:bottom w:val="single" w:sz="4" w:space="0" w:color="auto"/>
        </w:tblBorders>
        <w:tblLook w:val="01E0" w:firstRow="1" w:lastRow="1" w:firstColumn="1" w:lastColumn="1" w:noHBand="0" w:noVBand="0"/>
      </w:tblPr>
      <w:tblGrid>
        <w:gridCol w:w="5058"/>
        <w:gridCol w:w="4140"/>
      </w:tblGrid>
      <w:tr w:rsidR="004A2169" w:rsidRPr="00A32DD3" w14:paraId="29565530" w14:textId="77777777" w:rsidTr="000B7F47">
        <w:tc>
          <w:tcPr>
            <w:tcW w:w="5058" w:type="dxa"/>
            <w:tcBorders>
              <w:right w:val="single" w:sz="4" w:space="0" w:color="auto"/>
            </w:tcBorders>
          </w:tcPr>
          <w:p w14:paraId="500B19CE" w14:textId="77777777" w:rsidR="00E30AEB" w:rsidRDefault="00E30AEB" w:rsidP="00E30AEB">
            <w:pPr>
              <w:rPr>
                <w:rFonts w:ascii="Century Schoolbook" w:eastAsia="Times New Roman" w:hAnsi="Century Schoolbook"/>
              </w:rPr>
            </w:pPr>
            <w:r w:rsidRPr="00DA2737">
              <w:rPr>
                <w:rFonts w:ascii="Century Schoolbook" w:eastAsia="Times New Roman" w:hAnsi="Century Schoolbook"/>
              </w:rPr>
              <w:t>HOKE COUNTY BOARD OF EDUCATION; et al.,</w:t>
            </w:r>
          </w:p>
          <w:p w14:paraId="54E9E401" w14:textId="77777777" w:rsidR="00E30AEB" w:rsidRDefault="00E30AEB" w:rsidP="00E30AEB">
            <w:pPr>
              <w:rPr>
                <w:rFonts w:ascii="Century Schoolbook" w:eastAsia="Times New Roman" w:hAnsi="Century Schoolbook"/>
                <w:sz w:val="20"/>
                <w:szCs w:val="20"/>
              </w:rPr>
            </w:pPr>
          </w:p>
          <w:p w14:paraId="2BDCD0FB" w14:textId="77777777" w:rsidR="00E30AEB" w:rsidRPr="00DA2737" w:rsidRDefault="00E30AEB" w:rsidP="00E30AEB">
            <w:pPr>
              <w:rPr>
                <w:rFonts w:ascii="Century Schoolbook" w:eastAsia="Times New Roman" w:hAnsi="Century Schoolbook"/>
                <w:iCs/>
              </w:rPr>
            </w:pPr>
            <w:r>
              <w:rPr>
                <w:rFonts w:ascii="Century Schoolbook" w:eastAsia="Times New Roman" w:hAnsi="Century Schoolbook"/>
                <w:iCs/>
              </w:rPr>
              <w:t xml:space="preserve">     </w:t>
            </w:r>
            <w:r w:rsidRPr="00DA2737">
              <w:rPr>
                <w:rFonts w:ascii="Century Schoolbook" w:eastAsia="Times New Roman" w:hAnsi="Century Schoolbook"/>
                <w:iCs/>
              </w:rPr>
              <w:t>Plaintiffs,</w:t>
            </w:r>
          </w:p>
          <w:p w14:paraId="514A061F" w14:textId="77777777" w:rsidR="00E30AEB" w:rsidRDefault="00E30AEB" w:rsidP="00E30AEB">
            <w:pPr>
              <w:rPr>
                <w:rFonts w:ascii="Century Schoolbook" w:eastAsia="Times New Roman" w:hAnsi="Century Schoolbook" w:cs="Courier New"/>
                <w:sz w:val="20"/>
                <w:szCs w:val="20"/>
              </w:rPr>
            </w:pPr>
          </w:p>
          <w:p w14:paraId="1FD9C468" w14:textId="77777777" w:rsidR="00E30AEB" w:rsidRPr="00DA2737" w:rsidRDefault="00E30AEB" w:rsidP="00E30AEB">
            <w:pPr>
              <w:rPr>
                <w:rFonts w:ascii="Century Schoolbook" w:eastAsia="Times New Roman" w:hAnsi="Century Schoolbook"/>
              </w:rPr>
            </w:pPr>
            <w:r w:rsidRPr="00DA2737">
              <w:rPr>
                <w:rFonts w:ascii="Century Schoolbook" w:eastAsia="Times New Roman" w:hAnsi="Century Schoolbook"/>
              </w:rPr>
              <w:t>and</w:t>
            </w:r>
          </w:p>
          <w:p w14:paraId="005087E7" w14:textId="77777777" w:rsidR="00E30AEB" w:rsidRPr="00DA2737" w:rsidRDefault="00E30AEB" w:rsidP="00E30AEB">
            <w:pPr>
              <w:rPr>
                <w:rFonts w:ascii="Century Schoolbook" w:eastAsia="Times New Roman" w:hAnsi="Century Schoolbook" w:cs="Courier New"/>
                <w:sz w:val="16"/>
                <w:szCs w:val="16"/>
              </w:rPr>
            </w:pPr>
          </w:p>
          <w:p w14:paraId="2C7A4C49" w14:textId="77777777" w:rsidR="00E30AEB" w:rsidRDefault="00E30AEB" w:rsidP="00E30AEB">
            <w:pPr>
              <w:rPr>
                <w:rFonts w:ascii="Century Schoolbook" w:eastAsia="Times New Roman" w:hAnsi="Century Schoolbook"/>
              </w:rPr>
            </w:pPr>
            <w:r w:rsidRPr="00DA2737">
              <w:rPr>
                <w:rFonts w:ascii="Century Schoolbook" w:eastAsia="Times New Roman" w:hAnsi="Century Schoolbook"/>
              </w:rPr>
              <w:t>CHARLOTTE-MECKLENBURG BOARD OF EDUCATION,</w:t>
            </w:r>
          </w:p>
          <w:p w14:paraId="6ACD5C2B" w14:textId="77777777" w:rsidR="00E30AEB" w:rsidRPr="00863B9C" w:rsidRDefault="00E30AEB" w:rsidP="00E30AEB">
            <w:pPr>
              <w:rPr>
                <w:rFonts w:ascii="Century Schoolbook" w:eastAsia="Times New Roman" w:hAnsi="Century Schoolbook"/>
                <w:sz w:val="20"/>
                <w:szCs w:val="20"/>
              </w:rPr>
            </w:pPr>
          </w:p>
          <w:p w14:paraId="6355C911" w14:textId="77777777" w:rsidR="00E30AEB" w:rsidRPr="00DA2737" w:rsidRDefault="00E30AEB" w:rsidP="00E30AEB">
            <w:pPr>
              <w:rPr>
                <w:rFonts w:ascii="Century Schoolbook" w:eastAsia="Times New Roman" w:hAnsi="Century Schoolbook"/>
                <w:iCs/>
              </w:rPr>
            </w:pPr>
            <w:r>
              <w:rPr>
                <w:rFonts w:ascii="Century Schoolbook" w:eastAsia="Times New Roman" w:hAnsi="Century Schoolbook"/>
              </w:rPr>
              <w:t xml:space="preserve">     </w:t>
            </w:r>
            <w:r w:rsidRPr="00DA2737">
              <w:rPr>
                <w:rFonts w:ascii="Century Schoolbook" w:eastAsia="Times New Roman" w:hAnsi="Century Schoolbook"/>
                <w:iCs/>
              </w:rPr>
              <w:t>Plaintiff-Intervenor,</w:t>
            </w:r>
          </w:p>
          <w:p w14:paraId="6D0F7D4B" w14:textId="77777777" w:rsidR="00E30AEB" w:rsidRPr="00863B9C" w:rsidRDefault="00E30AEB" w:rsidP="00E30AEB">
            <w:pPr>
              <w:rPr>
                <w:rFonts w:ascii="Century Schoolbook" w:eastAsia="Times New Roman" w:hAnsi="Century Schoolbook" w:cs="Courier New"/>
                <w:sz w:val="20"/>
                <w:szCs w:val="20"/>
              </w:rPr>
            </w:pPr>
          </w:p>
          <w:p w14:paraId="0646AA93" w14:textId="77777777" w:rsidR="00E30AEB" w:rsidRPr="00DA2737" w:rsidRDefault="00E30AEB" w:rsidP="00E30AEB">
            <w:pPr>
              <w:rPr>
                <w:rFonts w:ascii="Century Schoolbook" w:eastAsia="Times New Roman" w:hAnsi="Century Schoolbook"/>
              </w:rPr>
            </w:pPr>
            <w:r w:rsidRPr="00DA2737">
              <w:rPr>
                <w:rFonts w:ascii="Century Schoolbook" w:eastAsia="Times New Roman" w:hAnsi="Century Schoolbook"/>
              </w:rPr>
              <w:t>and</w:t>
            </w:r>
          </w:p>
          <w:p w14:paraId="600A747C" w14:textId="77777777" w:rsidR="00E30AEB" w:rsidRPr="00DA2737" w:rsidRDefault="00E30AEB" w:rsidP="00E30AEB">
            <w:pPr>
              <w:rPr>
                <w:rFonts w:ascii="Century Schoolbook" w:eastAsia="Times New Roman" w:hAnsi="Century Schoolbook" w:cs="Courier New"/>
                <w:sz w:val="16"/>
                <w:szCs w:val="16"/>
              </w:rPr>
            </w:pPr>
          </w:p>
          <w:p w14:paraId="0C23A3E6" w14:textId="77777777" w:rsidR="00E30AEB" w:rsidRDefault="00E30AEB" w:rsidP="00E30AEB">
            <w:pPr>
              <w:rPr>
                <w:rFonts w:ascii="Century Schoolbook" w:eastAsia="Times New Roman" w:hAnsi="Century Schoolbook"/>
              </w:rPr>
            </w:pPr>
            <w:r w:rsidRPr="00DA2737">
              <w:rPr>
                <w:rFonts w:ascii="Century Schoolbook" w:eastAsia="Times New Roman" w:hAnsi="Century Schoolbook"/>
              </w:rPr>
              <w:t xml:space="preserve">RAFAEL PENN, et al., </w:t>
            </w:r>
          </w:p>
          <w:p w14:paraId="4E5362C7" w14:textId="77777777" w:rsidR="00E30AEB" w:rsidRPr="00DA2737" w:rsidRDefault="00E30AEB" w:rsidP="00E30AEB">
            <w:pPr>
              <w:rPr>
                <w:rFonts w:ascii="Century Schoolbook" w:eastAsia="Times New Roman" w:hAnsi="Century Schoolbook"/>
                <w:sz w:val="16"/>
                <w:szCs w:val="16"/>
              </w:rPr>
            </w:pPr>
          </w:p>
          <w:p w14:paraId="70015D48" w14:textId="77777777" w:rsidR="00E30AEB" w:rsidRPr="00DA2737" w:rsidRDefault="00E30AEB" w:rsidP="00E30AEB">
            <w:pPr>
              <w:rPr>
                <w:rFonts w:ascii="Century Schoolbook" w:eastAsia="Times New Roman" w:hAnsi="Century Schoolbook"/>
                <w:iCs/>
              </w:rPr>
            </w:pPr>
            <w:r>
              <w:rPr>
                <w:rFonts w:ascii="Century Schoolbook" w:eastAsia="Times New Roman" w:hAnsi="Century Schoolbook"/>
              </w:rPr>
              <w:t xml:space="preserve">     </w:t>
            </w:r>
            <w:r w:rsidRPr="00DA2737">
              <w:rPr>
                <w:rFonts w:ascii="Century Schoolbook" w:eastAsia="Times New Roman" w:hAnsi="Century Schoolbook"/>
                <w:iCs/>
              </w:rPr>
              <w:t>Plaintiff-Intervenors,</w:t>
            </w:r>
          </w:p>
          <w:p w14:paraId="7F64900F" w14:textId="77777777" w:rsidR="00E30AEB" w:rsidRPr="00863B9C" w:rsidRDefault="00E30AEB" w:rsidP="00E30AEB">
            <w:pPr>
              <w:rPr>
                <w:rFonts w:ascii="Century Schoolbook" w:eastAsia="Times New Roman" w:hAnsi="Century Schoolbook" w:cs="Courier New"/>
                <w:sz w:val="20"/>
                <w:szCs w:val="20"/>
              </w:rPr>
            </w:pPr>
          </w:p>
          <w:p w14:paraId="4FF787DC" w14:textId="77777777" w:rsidR="00E30AEB" w:rsidRPr="00DA2737" w:rsidRDefault="00E30AEB" w:rsidP="00E30AEB">
            <w:pPr>
              <w:rPr>
                <w:rFonts w:ascii="Century Schoolbook" w:eastAsia="Times New Roman" w:hAnsi="Century Schoolbook"/>
              </w:rPr>
            </w:pPr>
            <w:r>
              <w:rPr>
                <w:rFonts w:ascii="Century Schoolbook" w:eastAsia="Times New Roman" w:hAnsi="Century Schoolbook"/>
              </w:rPr>
              <w:t xml:space="preserve">     </w:t>
            </w:r>
            <w:r w:rsidRPr="00DA2737">
              <w:rPr>
                <w:rFonts w:ascii="Century Schoolbook" w:eastAsia="Times New Roman" w:hAnsi="Century Schoolbook"/>
              </w:rPr>
              <w:t>v.</w:t>
            </w:r>
          </w:p>
          <w:p w14:paraId="6623D8DD" w14:textId="77777777" w:rsidR="00E30AEB" w:rsidRPr="00863B9C" w:rsidRDefault="00E30AEB" w:rsidP="00E30AEB">
            <w:pPr>
              <w:rPr>
                <w:rFonts w:ascii="Century Schoolbook" w:eastAsia="Times New Roman" w:hAnsi="Century Schoolbook" w:cs="Courier New"/>
                <w:sz w:val="20"/>
                <w:szCs w:val="20"/>
              </w:rPr>
            </w:pPr>
          </w:p>
          <w:p w14:paraId="08437D3E" w14:textId="77777777" w:rsidR="00E30AEB" w:rsidRPr="00DA2737" w:rsidRDefault="00E30AEB" w:rsidP="00E30AEB">
            <w:pPr>
              <w:rPr>
                <w:rFonts w:ascii="Century Schoolbook" w:eastAsia="Times New Roman" w:hAnsi="Century Schoolbook"/>
              </w:rPr>
            </w:pPr>
            <w:r w:rsidRPr="00DA2737">
              <w:rPr>
                <w:rFonts w:ascii="Century Schoolbook" w:eastAsia="Times New Roman" w:hAnsi="Century Schoolbook"/>
              </w:rPr>
              <w:t>STATE OF NORTH CAROLINA and the STATE BOARD OF EDUCATION,</w:t>
            </w:r>
          </w:p>
          <w:p w14:paraId="202856AB" w14:textId="77777777" w:rsidR="00E30AEB" w:rsidRDefault="00E30AEB" w:rsidP="00E30AEB">
            <w:pPr>
              <w:rPr>
                <w:rFonts w:ascii="Century Schoolbook" w:eastAsia="Times New Roman" w:hAnsi="Century Schoolbook"/>
              </w:rPr>
            </w:pPr>
            <w:r w:rsidRPr="00DA2737">
              <w:rPr>
                <w:rFonts w:ascii="Century Schoolbook" w:eastAsia="Times New Roman" w:hAnsi="Century Schoolbook"/>
              </w:rPr>
              <w:t xml:space="preserve">     </w:t>
            </w:r>
          </w:p>
          <w:p w14:paraId="469198DD" w14:textId="77777777" w:rsidR="00E30AEB" w:rsidRPr="00DA2737" w:rsidRDefault="00E30AEB" w:rsidP="00E30AEB">
            <w:pPr>
              <w:rPr>
                <w:rFonts w:ascii="Century Schoolbook" w:eastAsia="Times New Roman" w:hAnsi="Century Schoolbook"/>
              </w:rPr>
            </w:pPr>
            <w:r>
              <w:rPr>
                <w:rFonts w:ascii="Century Schoolbook" w:eastAsia="Times New Roman" w:hAnsi="Century Schoolbook"/>
              </w:rPr>
              <w:t xml:space="preserve">     </w:t>
            </w:r>
            <w:r w:rsidRPr="00DA2737">
              <w:rPr>
                <w:rFonts w:ascii="Century Schoolbook" w:eastAsia="Times New Roman" w:hAnsi="Century Schoolbook"/>
              </w:rPr>
              <w:t xml:space="preserve">Defendants, </w:t>
            </w:r>
          </w:p>
          <w:p w14:paraId="5AA23FB5" w14:textId="77777777" w:rsidR="00E30AEB" w:rsidRPr="00863B9C" w:rsidRDefault="00E30AEB" w:rsidP="00E30AEB">
            <w:pPr>
              <w:rPr>
                <w:rFonts w:ascii="Century Schoolbook" w:eastAsia="Times New Roman" w:hAnsi="Century Schoolbook" w:cs="Courier New"/>
                <w:sz w:val="20"/>
                <w:szCs w:val="20"/>
              </w:rPr>
            </w:pPr>
          </w:p>
          <w:p w14:paraId="1D72F266" w14:textId="77777777" w:rsidR="00E30AEB" w:rsidRPr="00DA2737" w:rsidRDefault="00E30AEB" w:rsidP="00E30AEB">
            <w:pPr>
              <w:rPr>
                <w:rFonts w:ascii="Century Schoolbook" w:eastAsia="Times New Roman" w:hAnsi="Century Schoolbook"/>
              </w:rPr>
            </w:pPr>
            <w:r w:rsidRPr="00DA2737">
              <w:rPr>
                <w:rFonts w:ascii="Century Schoolbook" w:eastAsia="Times New Roman" w:hAnsi="Century Schoolbook"/>
              </w:rPr>
              <w:t xml:space="preserve">and </w:t>
            </w:r>
          </w:p>
          <w:p w14:paraId="5DC9FF41" w14:textId="77777777" w:rsidR="00E30AEB" w:rsidRPr="00863B9C" w:rsidRDefault="00E30AEB" w:rsidP="00E30AEB">
            <w:pPr>
              <w:rPr>
                <w:rFonts w:ascii="Century Schoolbook" w:eastAsia="Times New Roman" w:hAnsi="Century Schoolbook" w:cs="Courier New"/>
                <w:sz w:val="20"/>
                <w:szCs w:val="20"/>
              </w:rPr>
            </w:pPr>
          </w:p>
          <w:p w14:paraId="29525667" w14:textId="77777777" w:rsidR="00E30AEB" w:rsidRDefault="00E30AEB" w:rsidP="00E30AEB">
            <w:pPr>
              <w:rPr>
                <w:rFonts w:ascii="Century Schoolbook" w:eastAsia="Times New Roman" w:hAnsi="Century Schoolbook"/>
              </w:rPr>
            </w:pPr>
            <w:r w:rsidRPr="00DA2737">
              <w:rPr>
                <w:rFonts w:ascii="Century Schoolbook" w:eastAsia="Times New Roman" w:hAnsi="Century Schoolbook"/>
              </w:rPr>
              <w:t xml:space="preserve">CHARLOTTE-MECKLENBURG BOARD OF EDUCATION, </w:t>
            </w:r>
          </w:p>
          <w:p w14:paraId="56C97593" w14:textId="77777777" w:rsidR="00E30AEB" w:rsidRPr="00863B9C" w:rsidRDefault="00E30AEB" w:rsidP="00E30AEB">
            <w:pPr>
              <w:rPr>
                <w:rFonts w:ascii="Century Schoolbook" w:eastAsia="Times New Roman" w:hAnsi="Century Schoolbook"/>
                <w:sz w:val="20"/>
                <w:szCs w:val="20"/>
              </w:rPr>
            </w:pPr>
          </w:p>
          <w:p w14:paraId="09B05F2C" w14:textId="77777777" w:rsidR="00E30AEB" w:rsidRDefault="00E30AEB" w:rsidP="00E30AEB">
            <w:pPr>
              <w:rPr>
                <w:rFonts w:ascii="Century Schoolbook" w:eastAsia="Times New Roman" w:hAnsi="Century Schoolbook"/>
              </w:rPr>
            </w:pPr>
            <w:r>
              <w:rPr>
                <w:rFonts w:ascii="Century Schoolbook" w:eastAsia="Times New Roman" w:hAnsi="Century Schoolbook"/>
              </w:rPr>
              <w:t xml:space="preserve">     </w:t>
            </w:r>
            <w:r w:rsidRPr="00DA2737">
              <w:rPr>
                <w:rFonts w:ascii="Century Schoolbook" w:eastAsia="Times New Roman" w:hAnsi="Century Schoolbook"/>
              </w:rPr>
              <w:t>Realigned Defendant</w:t>
            </w:r>
            <w:r>
              <w:rPr>
                <w:rFonts w:ascii="Century Schoolbook" w:eastAsia="Times New Roman" w:hAnsi="Century Schoolbook"/>
              </w:rPr>
              <w:t>,</w:t>
            </w:r>
          </w:p>
          <w:p w14:paraId="4E3FDB7F" w14:textId="77777777" w:rsidR="00E30AEB" w:rsidRPr="00863B9C" w:rsidRDefault="00E30AEB" w:rsidP="00E30AEB">
            <w:pPr>
              <w:rPr>
                <w:rFonts w:ascii="Century Schoolbook" w:eastAsia="Times New Roman" w:hAnsi="Century Schoolbook"/>
                <w:sz w:val="20"/>
                <w:szCs w:val="20"/>
              </w:rPr>
            </w:pPr>
          </w:p>
          <w:p w14:paraId="02D4800A" w14:textId="77777777" w:rsidR="00E30AEB" w:rsidRDefault="00E30AEB" w:rsidP="00E30AEB">
            <w:pPr>
              <w:rPr>
                <w:rFonts w:ascii="Century Schoolbook" w:eastAsia="Times New Roman" w:hAnsi="Century Schoolbook"/>
              </w:rPr>
            </w:pPr>
            <w:r>
              <w:rPr>
                <w:rFonts w:ascii="Century Schoolbook" w:eastAsia="Times New Roman" w:hAnsi="Century Schoolbook"/>
              </w:rPr>
              <w:t>and</w:t>
            </w:r>
          </w:p>
          <w:p w14:paraId="2D40BE80" w14:textId="77777777" w:rsidR="00E30AEB" w:rsidRPr="00863B9C" w:rsidRDefault="00E30AEB" w:rsidP="00E30AEB">
            <w:pPr>
              <w:rPr>
                <w:rFonts w:ascii="Century Schoolbook" w:eastAsia="Times New Roman" w:hAnsi="Century Schoolbook"/>
                <w:sz w:val="20"/>
                <w:szCs w:val="20"/>
              </w:rPr>
            </w:pPr>
          </w:p>
          <w:p w14:paraId="27D8F731" w14:textId="77777777" w:rsidR="00E30AEB" w:rsidRDefault="00E30AEB" w:rsidP="00E30AEB">
            <w:pPr>
              <w:rPr>
                <w:rFonts w:ascii="Century Schoolbook" w:eastAsia="Times New Roman" w:hAnsi="Century Schoolbook"/>
              </w:rPr>
            </w:pPr>
            <w:r>
              <w:rPr>
                <w:rFonts w:ascii="Century Schoolbook" w:eastAsia="Times New Roman" w:hAnsi="Century Schoolbook"/>
              </w:rPr>
              <w:t xml:space="preserve">PHILIP E. BERGER, in his official capacity as President </w:t>
            </w:r>
            <w:r>
              <w:rPr>
                <w:rFonts w:ascii="Century Schoolbook" w:eastAsia="Times New Roman" w:hAnsi="Century Schoolbook"/>
                <w:i/>
                <w:iCs/>
              </w:rPr>
              <w:t>Pro Tempore</w:t>
            </w:r>
            <w:r>
              <w:rPr>
                <w:rFonts w:ascii="Century Schoolbook" w:eastAsia="Times New Roman" w:hAnsi="Century Schoolbook"/>
              </w:rPr>
              <w:t xml:space="preserve"> of the North Carolina Senate, and TIMOTHY K. MOORE, in his official capacity as Speaker of the North Carolina House of Representatives, </w:t>
            </w:r>
          </w:p>
          <w:p w14:paraId="498FD03E" w14:textId="77777777" w:rsidR="00E30AEB" w:rsidRPr="00863B9C" w:rsidRDefault="00E30AEB" w:rsidP="00E30AEB">
            <w:pPr>
              <w:rPr>
                <w:rFonts w:ascii="Century Schoolbook" w:eastAsia="Times New Roman" w:hAnsi="Century Schoolbook"/>
                <w:sz w:val="20"/>
                <w:szCs w:val="20"/>
              </w:rPr>
            </w:pPr>
          </w:p>
          <w:p w14:paraId="1068E603" w14:textId="2D34B244" w:rsidR="00ED2CB6" w:rsidRPr="00A32DD3" w:rsidRDefault="00E30AEB" w:rsidP="00E30AEB">
            <w:pPr>
              <w:widowControl w:val="0"/>
              <w:autoSpaceDE w:val="0"/>
              <w:autoSpaceDN w:val="0"/>
              <w:jc w:val="both"/>
              <w:rPr>
                <w:rFonts w:ascii="Century Schoolbook" w:hAnsi="Century Schoolbook"/>
              </w:rPr>
            </w:pPr>
            <w:r>
              <w:rPr>
                <w:rFonts w:ascii="Century Schoolbook" w:eastAsia="Times New Roman" w:hAnsi="Century Schoolbook"/>
              </w:rPr>
              <w:t xml:space="preserve">   Intervenor-Defendants.</w:t>
            </w:r>
          </w:p>
        </w:tc>
        <w:tc>
          <w:tcPr>
            <w:tcW w:w="4140" w:type="dxa"/>
            <w:tcBorders>
              <w:left w:val="single" w:sz="4" w:space="0" w:color="auto"/>
            </w:tcBorders>
            <w:vAlign w:val="center"/>
          </w:tcPr>
          <w:p w14:paraId="100E3DF5" w14:textId="77777777" w:rsidR="00ED2CB6" w:rsidRDefault="00B93113" w:rsidP="00D42EF5">
            <w:pPr>
              <w:jc w:val="center"/>
              <w:rPr>
                <w:rFonts w:ascii="Century Schoolbook" w:hAnsi="Century Schoolbook"/>
                <w:b/>
              </w:rPr>
            </w:pPr>
            <w:r w:rsidRPr="00A32DD3">
              <w:rPr>
                <w:rFonts w:ascii="Century Schoolbook" w:hAnsi="Century Schoolbook"/>
                <w:b/>
              </w:rPr>
              <w:t xml:space="preserve">PLAINTIFFS’ PROPOSED </w:t>
            </w:r>
            <w:r w:rsidR="000B7F47" w:rsidRPr="00A32DD3">
              <w:rPr>
                <w:rFonts w:ascii="Century Schoolbook" w:hAnsi="Century Schoolbook"/>
                <w:b/>
              </w:rPr>
              <w:t>FINDINGS OF FACT AND CONCLUSIONS OF LAW</w:t>
            </w:r>
          </w:p>
          <w:p w14:paraId="75756B4A" w14:textId="77777777" w:rsidR="00E30AEB" w:rsidRDefault="00E30AEB" w:rsidP="00D42EF5">
            <w:pPr>
              <w:jc w:val="center"/>
              <w:rPr>
                <w:rFonts w:ascii="Century Schoolbook" w:hAnsi="Century Schoolbook"/>
                <w:b/>
              </w:rPr>
            </w:pPr>
          </w:p>
          <w:p w14:paraId="42903127" w14:textId="77777777" w:rsidR="00E30AEB" w:rsidRDefault="00E30AEB" w:rsidP="00D42EF5">
            <w:pPr>
              <w:jc w:val="center"/>
              <w:rPr>
                <w:rFonts w:ascii="Century Schoolbook" w:hAnsi="Century Schoolbook"/>
                <w:b/>
              </w:rPr>
            </w:pPr>
          </w:p>
          <w:p w14:paraId="7E175C5A" w14:textId="77777777" w:rsidR="00E30AEB" w:rsidRDefault="00E30AEB" w:rsidP="00D42EF5">
            <w:pPr>
              <w:jc w:val="center"/>
              <w:rPr>
                <w:rFonts w:ascii="Century Schoolbook" w:hAnsi="Century Schoolbook"/>
                <w:b/>
              </w:rPr>
            </w:pPr>
          </w:p>
          <w:p w14:paraId="44517E8C" w14:textId="77777777" w:rsidR="00E30AEB" w:rsidRDefault="00E30AEB" w:rsidP="00D42EF5">
            <w:pPr>
              <w:jc w:val="center"/>
              <w:rPr>
                <w:rFonts w:ascii="Century Schoolbook" w:hAnsi="Century Schoolbook"/>
                <w:b/>
              </w:rPr>
            </w:pPr>
          </w:p>
          <w:p w14:paraId="4C393335" w14:textId="77777777" w:rsidR="00E30AEB" w:rsidRDefault="00E30AEB" w:rsidP="00D42EF5">
            <w:pPr>
              <w:jc w:val="center"/>
              <w:rPr>
                <w:rFonts w:ascii="Century Schoolbook" w:hAnsi="Century Schoolbook"/>
                <w:b/>
              </w:rPr>
            </w:pPr>
          </w:p>
          <w:p w14:paraId="28D18E93" w14:textId="77777777" w:rsidR="00E30AEB" w:rsidRDefault="00E30AEB" w:rsidP="00D42EF5">
            <w:pPr>
              <w:jc w:val="center"/>
              <w:rPr>
                <w:rFonts w:ascii="Century Schoolbook" w:hAnsi="Century Schoolbook"/>
                <w:b/>
              </w:rPr>
            </w:pPr>
          </w:p>
          <w:p w14:paraId="53A9AF31" w14:textId="77777777" w:rsidR="00E30AEB" w:rsidRDefault="00E30AEB" w:rsidP="00D42EF5">
            <w:pPr>
              <w:jc w:val="center"/>
              <w:rPr>
                <w:rFonts w:ascii="Century Schoolbook" w:hAnsi="Century Schoolbook"/>
                <w:b/>
              </w:rPr>
            </w:pPr>
          </w:p>
          <w:p w14:paraId="7B115803" w14:textId="77777777" w:rsidR="00E30AEB" w:rsidRDefault="00E30AEB" w:rsidP="00D42EF5">
            <w:pPr>
              <w:jc w:val="center"/>
              <w:rPr>
                <w:rFonts w:ascii="Century Schoolbook" w:hAnsi="Century Schoolbook"/>
                <w:b/>
              </w:rPr>
            </w:pPr>
          </w:p>
          <w:p w14:paraId="0113B711" w14:textId="77777777" w:rsidR="00E30AEB" w:rsidRDefault="00E30AEB" w:rsidP="00D42EF5">
            <w:pPr>
              <w:jc w:val="center"/>
              <w:rPr>
                <w:rFonts w:ascii="Century Schoolbook" w:hAnsi="Century Schoolbook"/>
                <w:b/>
              </w:rPr>
            </w:pPr>
          </w:p>
          <w:p w14:paraId="24F26F93" w14:textId="77777777" w:rsidR="00E30AEB" w:rsidRDefault="00E30AEB" w:rsidP="00D42EF5">
            <w:pPr>
              <w:jc w:val="center"/>
              <w:rPr>
                <w:rFonts w:ascii="Century Schoolbook" w:hAnsi="Century Schoolbook"/>
                <w:b/>
              </w:rPr>
            </w:pPr>
          </w:p>
          <w:p w14:paraId="6E04BEC9" w14:textId="77777777" w:rsidR="00E30AEB" w:rsidRDefault="00E30AEB" w:rsidP="00D42EF5">
            <w:pPr>
              <w:jc w:val="center"/>
              <w:rPr>
                <w:rFonts w:ascii="Century Schoolbook" w:hAnsi="Century Schoolbook"/>
                <w:b/>
              </w:rPr>
            </w:pPr>
          </w:p>
          <w:p w14:paraId="043C0EC0" w14:textId="77777777" w:rsidR="00E30AEB" w:rsidRDefault="00E30AEB" w:rsidP="00D42EF5">
            <w:pPr>
              <w:jc w:val="center"/>
              <w:rPr>
                <w:rFonts w:ascii="Century Schoolbook" w:hAnsi="Century Schoolbook"/>
                <w:b/>
              </w:rPr>
            </w:pPr>
          </w:p>
          <w:p w14:paraId="3E00C594" w14:textId="77777777" w:rsidR="00E30AEB" w:rsidRDefault="00E30AEB" w:rsidP="00D42EF5">
            <w:pPr>
              <w:jc w:val="center"/>
              <w:rPr>
                <w:rFonts w:ascii="Century Schoolbook" w:hAnsi="Century Schoolbook"/>
                <w:b/>
              </w:rPr>
            </w:pPr>
          </w:p>
          <w:p w14:paraId="626C8114" w14:textId="77777777" w:rsidR="00E30AEB" w:rsidRDefault="00E30AEB" w:rsidP="00D42EF5">
            <w:pPr>
              <w:jc w:val="center"/>
              <w:rPr>
                <w:rFonts w:ascii="Century Schoolbook" w:hAnsi="Century Schoolbook"/>
                <w:b/>
              </w:rPr>
            </w:pPr>
          </w:p>
          <w:p w14:paraId="6C5FD101" w14:textId="77777777" w:rsidR="00E30AEB" w:rsidRDefault="00E30AEB" w:rsidP="00D42EF5">
            <w:pPr>
              <w:jc w:val="center"/>
              <w:rPr>
                <w:rFonts w:ascii="Century Schoolbook" w:hAnsi="Century Schoolbook"/>
                <w:b/>
              </w:rPr>
            </w:pPr>
          </w:p>
          <w:p w14:paraId="21FF2280" w14:textId="77777777" w:rsidR="00E30AEB" w:rsidRDefault="00E30AEB" w:rsidP="00D42EF5">
            <w:pPr>
              <w:jc w:val="center"/>
              <w:rPr>
                <w:rFonts w:ascii="Century Schoolbook" w:hAnsi="Century Schoolbook"/>
                <w:b/>
              </w:rPr>
            </w:pPr>
          </w:p>
          <w:p w14:paraId="1E284585" w14:textId="77777777" w:rsidR="00E30AEB" w:rsidRDefault="00E30AEB" w:rsidP="00D42EF5">
            <w:pPr>
              <w:jc w:val="center"/>
              <w:rPr>
                <w:rFonts w:ascii="Century Schoolbook" w:hAnsi="Century Schoolbook"/>
                <w:b/>
              </w:rPr>
            </w:pPr>
          </w:p>
          <w:p w14:paraId="53A62E98" w14:textId="53DB4664" w:rsidR="00E30AEB" w:rsidRPr="00A32DD3" w:rsidRDefault="00E30AEB" w:rsidP="00D42EF5">
            <w:pPr>
              <w:jc w:val="center"/>
              <w:rPr>
                <w:rFonts w:ascii="Century Schoolbook" w:hAnsi="Century Schoolbook"/>
                <w:b/>
              </w:rPr>
            </w:pPr>
          </w:p>
        </w:tc>
      </w:tr>
      <w:tr w:rsidR="000B7F47" w:rsidRPr="00A32DD3" w14:paraId="0D2EB7C6" w14:textId="77777777" w:rsidTr="00583846">
        <w:tc>
          <w:tcPr>
            <w:tcW w:w="5058" w:type="dxa"/>
            <w:tcBorders>
              <w:bottom w:val="single" w:sz="4" w:space="0" w:color="auto"/>
              <w:right w:val="single" w:sz="4" w:space="0" w:color="auto"/>
            </w:tcBorders>
          </w:tcPr>
          <w:p w14:paraId="64245BD7" w14:textId="77777777" w:rsidR="000B7F47" w:rsidRPr="00A32DD3" w:rsidRDefault="000B7F47" w:rsidP="001A4D86">
            <w:pPr>
              <w:widowControl w:val="0"/>
              <w:autoSpaceDE w:val="0"/>
              <w:autoSpaceDN w:val="0"/>
              <w:jc w:val="both"/>
              <w:rPr>
                <w:rFonts w:ascii="Century Schoolbook" w:hAnsi="Century Schoolbook"/>
              </w:rPr>
            </w:pPr>
          </w:p>
        </w:tc>
        <w:tc>
          <w:tcPr>
            <w:tcW w:w="4140" w:type="dxa"/>
            <w:tcBorders>
              <w:left w:val="single" w:sz="4" w:space="0" w:color="auto"/>
              <w:bottom w:val="nil"/>
            </w:tcBorders>
            <w:vAlign w:val="center"/>
          </w:tcPr>
          <w:p w14:paraId="61E444C2" w14:textId="77777777" w:rsidR="000B7F47" w:rsidRPr="00A32DD3" w:rsidRDefault="000B7F47" w:rsidP="00D42EF5">
            <w:pPr>
              <w:jc w:val="center"/>
              <w:rPr>
                <w:rFonts w:ascii="Century Schoolbook" w:hAnsi="Century Schoolbook"/>
                <w:b/>
              </w:rPr>
            </w:pPr>
          </w:p>
        </w:tc>
      </w:tr>
    </w:tbl>
    <w:p w14:paraId="08FC456E" w14:textId="1ACE5503" w:rsidR="00B93113" w:rsidRPr="00A32DD3" w:rsidRDefault="005B153C" w:rsidP="00B93113">
      <w:pPr>
        <w:spacing w:line="480" w:lineRule="auto"/>
        <w:ind w:firstLine="720"/>
        <w:jc w:val="both"/>
        <w:rPr>
          <w:rFonts w:ascii="Century Schoolbook" w:hAnsi="Century Schoolbook"/>
        </w:rPr>
      </w:pPr>
      <w:r w:rsidRPr="00A32DD3">
        <w:rPr>
          <w:rFonts w:ascii="Century Schoolbook" w:hAnsi="Century Schoolbook"/>
        </w:rPr>
        <w:lastRenderedPageBreak/>
        <w:t xml:space="preserve">This case is on remand from our Supreme Court for the limited purpose of determining “what effect, if any, the enactment of the </w:t>
      </w:r>
      <w:bookmarkStart w:id="0" w:name="_Hlk100217487"/>
      <w:r w:rsidRPr="00A32DD3">
        <w:rPr>
          <w:rFonts w:ascii="Century Schoolbook" w:hAnsi="Century Schoolbook"/>
        </w:rPr>
        <w:t xml:space="preserve">State Budget has upon the nature and extent of the relief” granted in the trial court’s order issued on </w:t>
      </w:r>
      <w:r w:rsidR="0013573C" w:rsidRPr="00A32DD3">
        <w:rPr>
          <w:rFonts w:ascii="Century Schoolbook" w:hAnsi="Century Schoolbook"/>
        </w:rPr>
        <w:t xml:space="preserve">10 </w:t>
      </w:r>
      <w:r w:rsidRPr="00A32DD3">
        <w:rPr>
          <w:rFonts w:ascii="Century Schoolbook" w:hAnsi="Century Schoolbook"/>
        </w:rPr>
        <w:t>November</w:t>
      </w:r>
      <w:r w:rsidR="0013573C" w:rsidRPr="00A32DD3">
        <w:rPr>
          <w:rFonts w:ascii="Century Schoolbook" w:hAnsi="Century Schoolbook"/>
        </w:rPr>
        <w:t xml:space="preserve"> </w:t>
      </w:r>
      <w:r w:rsidRPr="00A32DD3">
        <w:rPr>
          <w:rFonts w:ascii="Century Schoolbook" w:hAnsi="Century Schoolbook"/>
        </w:rPr>
        <w:t>2021</w:t>
      </w:r>
      <w:r w:rsidR="0013573C" w:rsidRPr="00A32DD3">
        <w:rPr>
          <w:rFonts w:ascii="Century Schoolbook" w:hAnsi="Century Schoolbook"/>
        </w:rPr>
        <w:t xml:space="preserve"> (“10 November </w:t>
      </w:r>
      <w:r w:rsidR="001F1227">
        <w:rPr>
          <w:rFonts w:ascii="Century Schoolbook" w:hAnsi="Century Schoolbook"/>
        </w:rPr>
        <w:t xml:space="preserve">2021 </w:t>
      </w:r>
      <w:r w:rsidR="0013573C" w:rsidRPr="00A32DD3">
        <w:rPr>
          <w:rFonts w:ascii="Century Schoolbook" w:hAnsi="Century Schoolbook"/>
        </w:rPr>
        <w:t xml:space="preserve">Order”).  </w:t>
      </w:r>
      <w:bookmarkEnd w:id="0"/>
      <w:r w:rsidR="00B93113" w:rsidRPr="00A32DD3">
        <w:rPr>
          <w:rFonts w:ascii="Century Schoolbook" w:hAnsi="Century Schoolbook"/>
        </w:rPr>
        <w:t xml:space="preserve"> </w:t>
      </w:r>
    </w:p>
    <w:p w14:paraId="510052B8" w14:textId="0507D842" w:rsidR="00B93113" w:rsidRPr="00A32DD3" w:rsidRDefault="00B93113" w:rsidP="00B93113">
      <w:pPr>
        <w:spacing w:line="480" w:lineRule="auto"/>
        <w:ind w:firstLine="720"/>
        <w:jc w:val="both"/>
        <w:rPr>
          <w:rFonts w:ascii="Century Schoolbook" w:hAnsi="Century Schoolbook"/>
          <w:bCs/>
        </w:rPr>
      </w:pPr>
      <w:r w:rsidRPr="00A32DD3">
        <w:rPr>
          <w:rFonts w:ascii="Century Schoolbook" w:hAnsi="Century Schoolbook"/>
          <w:bCs/>
        </w:rPr>
        <w:t>In the 10 No</w:t>
      </w:r>
      <w:r w:rsidR="0013573C" w:rsidRPr="00A32DD3">
        <w:rPr>
          <w:rFonts w:ascii="Century Schoolbook" w:hAnsi="Century Schoolbook"/>
          <w:bCs/>
        </w:rPr>
        <w:t>ve</w:t>
      </w:r>
      <w:r w:rsidR="00EC5D10" w:rsidRPr="00A32DD3">
        <w:rPr>
          <w:rFonts w:ascii="Century Schoolbook" w:hAnsi="Century Schoolbook"/>
          <w:bCs/>
        </w:rPr>
        <w:t xml:space="preserve">mber </w:t>
      </w:r>
      <w:r w:rsidR="001F1227">
        <w:rPr>
          <w:rFonts w:ascii="Century Schoolbook" w:hAnsi="Century Schoolbook"/>
          <w:bCs/>
        </w:rPr>
        <w:t xml:space="preserve">2021 </w:t>
      </w:r>
      <w:r w:rsidRPr="00A32DD3">
        <w:rPr>
          <w:rFonts w:ascii="Century Schoolbook" w:hAnsi="Century Schoolbook"/>
          <w:bCs/>
        </w:rPr>
        <w:t>Order, the Court ordered the Office of State Budget and Management and the current State Budget Director (“OSBM”), the Office of the State Controller and the current State Comptroller (“</w:t>
      </w:r>
      <w:r w:rsidR="00BE0300" w:rsidRPr="00A32DD3">
        <w:rPr>
          <w:rFonts w:ascii="Century Schoolbook" w:hAnsi="Century Schoolbook"/>
          <w:bCs/>
        </w:rPr>
        <w:t>Controller</w:t>
      </w:r>
      <w:r w:rsidRPr="00A32DD3">
        <w:rPr>
          <w:rFonts w:ascii="Century Schoolbook" w:hAnsi="Century Schoolbook"/>
          <w:bCs/>
        </w:rPr>
        <w:t xml:space="preserve">”), and the Office of the State Treasurer and the current State Treasurer (“Treasurer”) to take necessary actions to transfer the total amount of funds necessary to effectuate </w:t>
      </w:r>
      <w:r w:rsidR="00BE5D99">
        <w:rPr>
          <w:rFonts w:ascii="Century Schoolbook" w:hAnsi="Century Schoolbook"/>
          <w:bCs/>
        </w:rPr>
        <w:t>Y</w:t>
      </w:r>
      <w:r w:rsidRPr="00A32DD3">
        <w:rPr>
          <w:rFonts w:ascii="Century Schoolbook" w:hAnsi="Century Schoolbook"/>
          <w:bCs/>
        </w:rPr>
        <w:t>ears 2 &amp; 3 of the Plan</w:t>
      </w:r>
      <w:r w:rsidR="00BE5D99">
        <w:rPr>
          <w:rFonts w:ascii="Century Schoolbook" w:hAnsi="Century Schoolbook"/>
          <w:bCs/>
        </w:rPr>
        <w:t xml:space="preserve"> (the “Plan”)</w:t>
      </w:r>
      <w:r w:rsidRPr="00A32DD3">
        <w:rPr>
          <w:rFonts w:ascii="Century Schoolbook" w:hAnsi="Century Schoolbook"/>
          <w:bCs/>
        </w:rPr>
        <w:t>, from the unappropriated balance within the General Fund to the state agents and state actors with fiscal responsibility for implementing the Plan</w:t>
      </w:r>
      <w:r w:rsidR="00BE5D99">
        <w:rPr>
          <w:rFonts w:ascii="Century Schoolbook" w:hAnsi="Century Schoolbook"/>
          <w:bCs/>
        </w:rPr>
        <w:t>.</w:t>
      </w:r>
    </w:p>
    <w:p w14:paraId="0216932D" w14:textId="14E547F2" w:rsidR="00BE0300" w:rsidRPr="00A32DD3" w:rsidRDefault="00BE0300" w:rsidP="00BE0300">
      <w:pPr>
        <w:spacing w:line="480" w:lineRule="auto"/>
        <w:ind w:firstLine="720"/>
        <w:contextualSpacing/>
        <w:jc w:val="both"/>
        <w:rPr>
          <w:rFonts w:ascii="Century Schoolbook" w:hAnsi="Century Schoolbook"/>
        </w:rPr>
      </w:pPr>
      <w:r w:rsidRPr="00A32DD3">
        <w:rPr>
          <w:rFonts w:ascii="Century Schoolbook" w:hAnsi="Century Schoolbook"/>
        </w:rPr>
        <w:t xml:space="preserve">At the time the 10 November </w:t>
      </w:r>
      <w:r w:rsidR="001F1227">
        <w:rPr>
          <w:rFonts w:ascii="Century Schoolbook" w:hAnsi="Century Schoolbook"/>
        </w:rPr>
        <w:t xml:space="preserve">2021 </w:t>
      </w:r>
      <w:r w:rsidRPr="00A32DD3">
        <w:rPr>
          <w:rFonts w:ascii="Century Schoolbook" w:hAnsi="Century Schoolbook"/>
        </w:rPr>
        <w:t xml:space="preserve">Order was issued, a budget had yet to be enacted pertaining to the fiscal years relevant for Year 2 (2021-2022) and Year 3 (2022-2023).  Recognizing this, the Court stayed operation of its 10 November </w:t>
      </w:r>
      <w:r w:rsidR="001F1227">
        <w:rPr>
          <w:rFonts w:ascii="Century Schoolbook" w:hAnsi="Century Schoolbook"/>
        </w:rPr>
        <w:t xml:space="preserve">2021 </w:t>
      </w:r>
      <w:r w:rsidRPr="00A32DD3">
        <w:rPr>
          <w:rFonts w:ascii="Century Schoolbook" w:hAnsi="Century Schoolbook"/>
        </w:rPr>
        <w:t xml:space="preserve">Order for thirty </w:t>
      </w:r>
      <w:r w:rsidR="001F1227">
        <w:rPr>
          <w:rFonts w:ascii="Century Schoolbook" w:hAnsi="Century Schoolbook"/>
        </w:rPr>
        <w:t xml:space="preserve">(30) </w:t>
      </w:r>
      <w:r w:rsidRPr="00A32DD3">
        <w:rPr>
          <w:rFonts w:ascii="Century Schoolbook" w:hAnsi="Century Schoolbook"/>
        </w:rPr>
        <w:t xml:space="preserve">days in the event that a budget was passed that may impact the funding amounts set forth </w:t>
      </w:r>
      <w:r w:rsidR="001F1227">
        <w:rPr>
          <w:rFonts w:ascii="Century Schoolbook" w:hAnsi="Century Schoolbook"/>
        </w:rPr>
        <w:t>therein</w:t>
      </w:r>
      <w:r w:rsidRPr="00A32DD3">
        <w:rPr>
          <w:rFonts w:ascii="Century Schoolbook" w:hAnsi="Century Schoolbook"/>
        </w:rPr>
        <w:t xml:space="preserve">.  </w:t>
      </w:r>
    </w:p>
    <w:p w14:paraId="45BA3C03" w14:textId="59EC4C20" w:rsidR="00BE0300" w:rsidRPr="00A32DD3" w:rsidRDefault="00BE0300" w:rsidP="00BE0300">
      <w:pPr>
        <w:spacing w:line="480" w:lineRule="auto"/>
        <w:ind w:firstLine="720"/>
        <w:contextualSpacing/>
        <w:jc w:val="both"/>
        <w:rPr>
          <w:rFonts w:ascii="Century Schoolbook" w:hAnsi="Century Schoolbook"/>
        </w:rPr>
      </w:pPr>
      <w:r w:rsidRPr="00A32DD3">
        <w:rPr>
          <w:rFonts w:ascii="Century Schoolbook" w:hAnsi="Century Schoolbook"/>
          <w:bCs/>
        </w:rPr>
        <w:t>Approximately one week later,</w:t>
      </w:r>
      <w:r w:rsidR="00B93113" w:rsidRPr="00A32DD3">
        <w:rPr>
          <w:rFonts w:ascii="Century Schoolbook" w:hAnsi="Century Schoolbook"/>
          <w:bCs/>
        </w:rPr>
        <w:t xml:space="preserve"> the State enacted the Current Appropriations Act of 2021 (Session Law 2021-180, SB 105) (the “Appropriations Act”). </w:t>
      </w:r>
      <w:r w:rsidR="00711D51" w:rsidRPr="00A32DD3">
        <w:rPr>
          <w:rFonts w:ascii="Century Schoolbook" w:hAnsi="Century Schoolbook"/>
          <w:bCs/>
        </w:rPr>
        <w:t xml:space="preserve"> </w:t>
      </w:r>
      <w:r w:rsidRPr="00A32DD3">
        <w:rPr>
          <w:rFonts w:ascii="Century Schoolbook" w:hAnsi="Century Schoolbook"/>
        </w:rPr>
        <w:t xml:space="preserve">Accordingly, on </w:t>
      </w:r>
      <w:r w:rsidR="00AE7793" w:rsidRPr="00A32DD3">
        <w:rPr>
          <w:rFonts w:ascii="Century Schoolbook" w:hAnsi="Century Schoolbook"/>
        </w:rPr>
        <w:t xml:space="preserve">30 </w:t>
      </w:r>
      <w:r w:rsidRPr="00A32DD3">
        <w:rPr>
          <w:rFonts w:ascii="Century Schoolbook" w:hAnsi="Century Schoolbook"/>
        </w:rPr>
        <w:t xml:space="preserve">November 2021, the Court issued an order extending the stay of its 10 November </w:t>
      </w:r>
      <w:r w:rsidR="001F1227">
        <w:rPr>
          <w:rFonts w:ascii="Century Schoolbook" w:hAnsi="Century Schoolbook"/>
        </w:rPr>
        <w:t xml:space="preserve">2021 </w:t>
      </w:r>
      <w:r w:rsidRPr="00A32DD3">
        <w:rPr>
          <w:rFonts w:ascii="Century Schoolbook" w:hAnsi="Century Schoolbook"/>
        </w:rPr>
        <w:t>Order and stating as follows:</w:t>
      </w:r>
    </w:p>
    <w:p w14:paraId="149D269B" w14:textId="77777777" w:rsidR="00BE0300" w:rsidRPr="00A32DD3" w:rsidRDefault="00BE0300" w:rsidP="00BE0300">
      <w:pPr>
        <w:ind w:left="1080" w:right="1080"/>
        <w:contextualSpacing/>
        <w:jc w:val="both"/>
        <w:rPr>
          <w:rFonts w:ascii="Century Schoolbook" w:hAnsi="Century Schoolbook"/>
        </w:rPr>
      </w:pPr>
      <w:r w:rsidRPr="00A32DD3">
        <w:rPr>
          <w:rFonts w:ascii="Century Schoolbook" w:hAnsi="Century Schoolbook"/>
        </w:rPr>
        <w:t xml:space="preserve">[O]n November 18, 2021, the State enacted the [2021 Appropriations Act].  The Appropriations Act appears to provide for some—but not all—the resources and funds required to </w:t>
      </w:r>
      <w:r w:rsidRPr="00A32DD3">
        <w:rPr>
          <w:rFonts w:ascii="Century Schoolbook" w:hAnsi="Century Schoolbook"/>
        </w:rPr>
        <w:lastRenderedPageBreak/>
        <w:t>implement years 2 &amp; 3 of the Comprehensive Remedial Plan, which may necessitate a modification of the November 10 Order.</w:t>
      </w:r>
    </w:p>
    <w:p w14:paraId="6BDECC7E" w14:textId="77777777" w:rsidR="00BE0300" w:rsidRPr="00A32DD3" w:rsidRDefault="00BE0300" w:rsidP="00BE0300">
      <w:pPr>
        <w:ind w:left="1080" w:right="1080"/>
        <w:contextualSpacing/>
        <w:jc w:val="both"/>
        <w:rPr>
          <w:rFonts w:ascii="Century Schoolbook" w:hAnsi="Century Schoolbook"/>
        </w:rPr>
      </w:pPr>
    </w:p>
    <w:p w14:paraId="2AD9417C" w14:textId="048983C3" w:rsidR="00792A3D" w:rsidRPr="00A32DD3" w:rsidRDefault="001F1227" w:rsidP="006904C6">
      <w:pPr>
        <w:spacing w:line="480" w:lineRule="auto"/>
        <w:ind w:firstLine="720"/>
        <w:contextualSpacing/>
        <w:jc w:val="both"/>
        <w:rPr>
          <w:rFonts w:ascii="Century Schoolbook" w:hAnsi="Century Schoolbook"/>
          <w:bCs/>
        </w:rPr>
      </w:pPr>
      <w:r>
        <w:rPr>
          <w:rFonts w:ascii="Century Schoolbook" w:hAnsi="Century Schoolbook"/>
        </w:rPr>
        <w:t>T</w:t>
      </w:r>
      <w:r w:rsidR="00BE0300" w:rsidRPr="00A32DD3">
        <w:rPr>
          <w:rFonts w:ascii="Century Schoolbook" w:hAnsi="Century Schoolbook"/>
        </w:rPr>
        <w:t xml:space="preserve">he Court noticed a hearing for </w:t>
      </w:r>
      <w:r w:rsidR="00AE7793" w:rsidRPr="00A32DD3">
        <w:rPr>
          <w:rFonts w:ascii="Century Schoolbook" w:hAnsi="Century Schoolbook"/>
        </w:rPr>
        <w:t xml:space="preserve">13 </w:t>
      </w:r>
      <w:r w:rsidR="00BE0300" w:rsidRPr="00A32DD3">
        <w:rPr>
          <w:rFonts w:ascii="Century Schoolbook" w:hAnsi="Century Schoolbook"/>
        </w:rPr>
        <w:t xml:space="preserve">December 2021, the purpose of which was for the State “to inform the Court of the specific components of the Comprehensive Remedial Plan for years 2 &amp; 3 that are funded by the Appropriations Act and those that are not.” </w:t>
      </w:r>
      <w:r w:rsidR="00BE5D99">
        <w:rPr>
          <w:rFonts w:ascii="Century Schoolbook" w:hAnsi="Century Schoolbook"/>
        </w:rPr>
        <w:t xml:space="preserve"> </w:t>
      </w:r>
      <w:r w:rsidR="00BE0300" w:rsidRPr="00A32DD3">
        <w:rPr>
          <w:rFonts w:ascii="Century Schoolbook" w:hAnsi="Century Schoolbook"/>
        </w:rPr>
        <w:t>Before that hearing could happen, however, the appellate process was initiated and</w:t>
      </w:r>
      <w:r w:rsidR="00792A3D" w:rsidRPr="00A32DD3">
        <w:rPr>
          <w:rFonts w:ascii="Century Schoolbook" w:hAnsi="Century Schoolbook"/>
        </w:rPr>
        <w:t>, separately,</w:t>
      </w:r>
      <w:r w:rsidR="00BE0300" w:rsidRPr="00A32DD3">
        <w:rPr>
          <w:rFonts w:ascii="Century Schoolbook" w:hAnsi="Century Schoolbook"/>
        </w:rPr>
        <w:t xml:space="preserve"> </w:t>
      </w:r>
      <w:r w:rsidR="00BE0300" w:rsidRPr="00A32DD3">
        <w:rPr>
          <w:rFonts w:ascii="Century Schoolbook" w:hAnsi="Century Schoolbook"/>
          <w:bCs/>
        </w:rPr>
        <w:t>the Court of Appeals of North Carolina issued a writ of prohibition, restraining the Court from taking further action.</w:t>
      </w:r>
      <w:r w:rsidR="00792A3D" w:rsidRPr="00A32DD3">
        <w:rPr>
          <w:rFonts w:ascii="Century Schoolbook" w:hAnsi="Century Schoolbook"/>
          <w:bCs/>
        </w:rPr>
        <w:t xml:space="preserve">  </w:t>
      </w:r>
    </w:p>
    <w:p w14:paraId="0604F797" w14:textId="77777777" w:rsidR="001F1227" w:rsidRDefault="00792A3D" w:rsidP="00792A3D">
      <w:pPr>
        <w:spacing w:line="480" w:lineRule="auto"/>
        <w:ind w:firstLine="720"/>
        <w:contextualSpacing/>
        <w:jc w:val="both"/>
        <w:rPr>
          <w:rFonts w:ascii="Century Schoolbook" w:hAnsi="Century Schoolbook"/>
          <w:bCs/>
        </w:rPr>
      </w:pPr>
      <w:r w:rsidRPr="00A32DD3">
        <w:rPr>
          <w:rFonts w:ascii="Century Schoolbook" w:hAnsi="Century Schoolbook"/>
          <w:bCs/>
        </w:rPr>
        <w:t xml:space="preserve">Specifically, </w:t>
      </w:r>
      <w:r w:rsidR="00B93113" w:rsidRPr="00A32DD3">
        <w:rPr>
          <w:rFonts w:ascii="Century Schoolbook" w:hAnsi="Century Schoolbook"/>
          <w:bCs/>
        </w:rPr>
        <w:t>Plaintiffs appealed from and petitioned the Supreme Court to certify for discretionary review the writ of prohibition issued by the Court of Appeals on 30 November 2021. On 14 February 2022, Defendant State of North Carolina petitioned the Supreme Court for discretionary review of the 10 Nov</w:t>
      </w:r>
      <w:r w:rsidR="00EC5D10" w:rsidRPr="00A32DD3">
        <w:rPr>
          <w:rFonts w:ascii="Century Schoolbook" w:hAnsi="Century Schoolbook"/>
          <w:bCs/>
        </w:rPr>
        <w:t>ember</w:t>
      </w:r>
      <w:r w:rsidR="00B93113" w:rsidRPr="00A32DD3">
        <w:rPr>
          <w:rFonts w:ascii="Century Schoolbook" w:hAnsi="Century Schoolbook"/>
          <w:bCs/>
        </w:rPr>
        <w:t xml:space="preserve"> </w:t>
      </w:r>
      <w:r w:rsidR="001F1227">
        <w:rPr>
          <w:rFonts w:ascii="Century Schoolbook" w:hAnsi="Century Schoolbook"/>
          <w:bCs/>
        </w:rPr>
        <w:t xml:space="preserve">2021 </w:t>
      </w:r>
      <w:r w:rsidR="00B93113" w:rsidRPr="00A32DD3">
        <w:rPr>
          <w:rFonts w:ascii="Century Schoolbook" w:hAnsi="Century Schoolbook"/>
          <w:bCs/>
        </w:rPr>
        <w:t xml:space="preserve">Order.  By order entered 21 March 2022, the Supreme Court allowed both the Plaintiffs’ petition for discretionary review and the Defendant State of North Carolina’s petition for discretionary review.  </w:t>
      </w:r>
      <w:r w:rsidR="00EC5D10" w:rsidRPr="00A32DD3">
        <w:rPr>
          <w:rFonts w:ascii="Century Schoolbook" w:hAnsi="Century Schoolbook"/>
          <w:bCs/>
        </w:rPr>
        <w:t>T</w:t>
      </w:r>
      <w:r w:rsidR="00B93113" w:rsidRPr="00A32DD3">
        <w:rPr>
          <w:rFonts w:ascii="Century Schoolbook" w:hAnsi="Century Schoolbook"/>
          <w:bCs/>
        </w:rPr>
        <w:t xml:space="preserve">he Supreme Court concurrently issued a </w:t>
      </w:r>
      <w:r w:rsidRPr="00A32DD3">
        <w:rPr>
          <w:rFonts w:ascii="Century Schoolbook" w:hAnsi="Century Schoolbook"/>
          <w:bCs/>
        </w:rPr>
        <w:t>thirty-</w:t>
      </w:r>
      <w:r w:rsidR="00B93113" w:rsidRPr="00A32DD3">
        <w:rPr>
          <w:rFonts w:ascii="Century Schoolbook" w:hAnsi="Century Schoolbook"/>
          <w:bCs/>
        </w:rPr>
        <w:t xml:space="preserve">day, limited remand </w:t>
      </w:r>
      <w:r w:rsidR="00EC5D10" w:rsidRPr="00A32DD3">
        <w:rPr>
          <w:rFonts w:ascii="Century Schoolbook" w:hAnsi="Century Schoolbook"/>
          <w:bCs/>
        </w:rPr>
        <w:t xml:space="preserve">instructing </w:t>
      </w:r>
      <w:r w:rsidR="006904C6" w:rsidRPr="00A32DD3">
        <w:rPr>
          <w:rFonts w:ascii="Century Schoolbook" w:hAnsi="Century Schoolbook"/>
          <w:bCs/>
        </w:rPr>
        <w:t>t</w:t>
      </w:r>
      <w:r w:rsidR="00B93113" w:rsidRPr="00A32DD3">
        <w:rPr>
          <w:rFonts w:ascii="Century Schoolbook" w:hAnsi="Century Schoolbook"/>
          <w:bCs/>
        </w:rPr>
        <w:t xml:space="preserve">his Court to make any necessary findings of fact and conclusions of law </w:t>
      </w:r>
      <w:r w:rsidRPr="00A32DD3">
        <w:rPr>
          <w:rFonts w:ascii="Century Schoolbook" w:hAnsi="Century Schoolbook"/>
          <w:bCs/>
        </w:rPr>
        <w:t xml:space="preserve">concerning </w:t>
      </w:r>
      <w:r w:rsidR="001D0209">
        <w:rPr>
          <w:rFonts w:ascii="Century Schoolbook" w:hAnsi="Century Schoolbook"/>
          <w:bCs/>
        </w:rPr>
        <w:t xml:space="preserve">the </w:t>
      </w:r>
      <w:r w:rsidRPr="00A32DD3">
        <w:rPr>
          <w:rFonts w:ascii="Century Schoolbook" w:hAnsi="Century Schoolbook"/>
          <w:bCs/>
        </w:rPr>
        <w:t xml:space="preserve">effect, if any, of the Appropriations Act on the relief granted in the 10 November 2021 Order.  </w:t>
      </w:r>
    </w:p>
    <w:p w14:paraId="72C3402B" w14:textId="5106CC17" w:rsidR="00E30AEB" w:rsidRDefault="00B93113" w:rsidP="00792A3D">
      <w:pPr>
        <w:spacing w:line="480" w:lineRule="auto"/>
        <w:ind w:firstLine="720"/>
        <w:contextualSpacing/>
        <w:jc w:val="both"/>
        <w:rPr>
          <w:rFonts w:ascii="Century Schoolbook" w:hAnsi="Century Schoolbook"/>
          <w:bCs/>
        </w:rPr>
      </w:pPr>
      <w:r w:rsidRPr="00A32DD3">
        <w:rPr>
          <w:rFonts w:ascii="Century Schoolbook" w:hAnsi="Century Schoolbook"/>
          <w:bCs/>
        </w:rPr>
        <w:t>The Court, having reviewed the briefs</w:t>
      </w:r>
      <w:r w:rsidR="00792A3D" w:rsidRPr="00A32DD3">
        <w:rPr>
          <w:rFonts w:ascii="Century Schoolbook" w:hAnsi="Century Schoolbook"/>
          <w:bCs/>
        </w:rPr>
        <w:t>, affidavits, and other evidence of record</w:t>
      </w:r>
      <w:r w:rsidRPr="00A32DD3">
        <w:rPr>
          <w:rFonts w:ascii="Century Schoolbook" w:hAnsi="Century Schoolbook"/>
          <w:bCs/>
        </w:rPr>
        <w:t xml:space="preserve">, and having heard </w:t>
      </w:r>
      <w:r w:rsidR="001F1227">
        <w:rPr>
          <w:rFonts w:ascii="Century Schoolbook" w:hAnsi="Century Schoolbook"/>
          <w:bCs/>
        </w:rPr>
        <w:t xml:space="preserve">the arguments of counsel </w:t>
      </w:r>
      <w:r w:rsidRPr="00A32DD3">
        <w:rPr>
          <w:rFonts w:ascii="Century Schoolbook" w:hAnsi="Century Schoolbook"/>
          <w:bCs/>
        </w:rPr>
        <w:t xml:space="preserve">on 13 April 2022, finds </w:t>
      </w:r>
      <w:r w:rsidR="00792A3D" w:rsidRPr="00A32DD3">
        <w:rPr>
          <w:rFonts w:ascii="Century Schoolbook" w:hAnsi="Century Schoolbook"/>
          <w:bCs/>
        </w:rPr>
        <w:t xml:space="preserve">and concludes </w:t>
      </w:r>
      <w:r w:rsidRPr="00A32DD3">
        <w:rPr>
          <w:rFonts w:ascii="Century Schoolbook" w:hAnsi="Century Schoolbook"/>
          <w:bCs/>
        </w:rPr>
        <w:t>as follows:</w:t>
      </w:r>
    </w:p>
    <w:p w14:paraId="0CD06773" w14:textId="77777777" w:rsidR="00E30AEB" w:rsidRDefault="00E30AEB">
      <w:pPr>
        <w:rPr>
          <w:rFonts w:ascii="Century Schoolbook" w:hAnsi="Century Schoolbook"/>
          <w:bCs/>
        </w:rPr>
      </w:pPr>
      <w:r>
        <w:rPr>
          <w:rFonts w:ascii="Century Schoolbook" w:hAnsi="Century Schoolbook"/>
          <w:bCs/>
        </w:rPr>
        <w:br w:type="page"/>
      </w:r>
    </w:p>
    <w:p w14:paraId="48329745" w14:textId="237786D0" w:rsidR="00792A3D" w:rsidRPr="00A32DD3" w:rsidRDefault="00792A3D" w:rsidP="00A66692">
      <w:pPr>
        <w:spacing w:line="480" w:lineRule="auto"/>
        <w:ind w:hanging="90"/>
        <w:contextualSpacing/>
        <w:jc w:val="center"/>
        <w:rPr>
          <w:rFonts w:ascii="Century Schoolbook" w:hAnsi="Century Schoolbook"/>
          <w:b/>
        </w:rPr>
      </w:pPr>
      <w:bookmarkStart w:id="1" w:name="_GoBack"/>
      <w:bookmarkEnd w:id="1"/>
      <w:r w:rsidRPr="00A32DD3">
        <w:rPr>
          <w:rFonts w:ascii="Century Schoolbook" w:hAnsi="Century Schoolbook"/>
          <w:b/>
        </w:rPr>
        <w:lastRenderedPageBreak/>
        <w:t>PROPOSED FINDINGS OF FACT</w:t>
      </w:r>
    </w:p>
    <w:p w14:paraId="430CAADD" w14:textId="711C33B7" w:rsidR="003728CB" w:rsidRPr="00A32DD3" w:rsidRDefault="00D24532" w:rsidP="00A66692">
      <w:pPr>
        <w:pStyle w:val="APPNumListwSpace"/>
        <w:numPr>
          <w:ilvl w:val="0"/>
          <w:numId w:val="6"/>
        </w:numPr>
        <w:spacing w:after="0" w:line="480" w:lineRule="auto"/>
        <w:ind w:left="0" w:firstLine="720"/>
        <w:jc w:val="both"/>
        <w:rPr>
          <w:rFonts w:ascii="Century Schoolbook" w:hAnsi="Century Schoolbook"/>
        </w:rPr>
      </w:pPr>
      <w:r w:rsidRPr="00A32DD3">
        <w:rPr>
          <w:rFonts w:ascii="Century Schoolbook" w:hAnsi="Century Schoolbook"/>
        </w:rPr>
        <w:t xml:space="preserve">Pursuant to the scheduling </w:t>
      </w:r>
      <w:r w:rsidR="001F1227">
        <w:rPr>
          <w:rFonts w:ascii="Century Schoolbook" w:hAnsi="Century Schoolbook"/>
        </w:rPr>
        <w:t>dated</w:t>
      </w:r>
      <w:r w:rsidRPr="00A32DD3">
        <w:rPr>
          <w:rFonts w:ascii="Century Schoolbook" w:hAnsi="Century Schoolbook"/>
        </w:rPr>
        <w:t xml:space="preserve"> 24 March 2022, the </w:t>
      </w:r>
      <w:r w:rsidR="001F1227">
        <w:rPr>
          <w:rFonts w:ascii="Century Schoolbook" w:hAnsi="Century Schoolbook"/>
        </w:rPr>
        <w:t xml:space="preserve">Defendant </w:t>
      </w:r>
      <w:r w:rsidRPr="00A32DD3">
        <w:rPr>
          <w:rFonts w:ascii="Century Schoolbook" w:hAnsi="Century Schoolbook"/>
        </w:rPr>
        <w:t xml:space="preserve">State of North Carolina filed with the Court an accounting showing the extent to which the 2021 Appropriations Act, 2021 N.C. Sess. Laws 180, </w:t>
      </w:r>
      <w:r w:rsidR="00EC5D10" w:rsidRPr="00A32DD3">
        <w:rPr>
          <w:rFonts w:ascii="Century Schoolbook" w:hAnsi="Century Schoolbook"/>
        </w:rPr>
        <w:t>funded</w:t>
      </w:r>
      <w:r w:rsidR="00D25058" w:rsidRPr="00A32DD3">
        <w:rPr>
          <w:rFonts w:ascii="Century Schoolbook" w:hAnsi="Century Schoolbook"/>
        </w:rPr>
        <w:t>—or did not fund—</w:t>
      </w:r>
      <w:r w:rsidR="00EC5D10" w:rsidRPr="00A32DD3">
        <w:rPr>
          <w:rFonts w:ascii="Century Schoolbook" w:hAnsi="Century Schoolbook"/>
        </w:rPr>
        <w:t xml:space="preserve">the </w:t>
      </w:r>
      <w:r w:rsidR="00D25058" w:rsidRPr="00A32DD3">
        <w:rPr>
          <w:rFonts w:ascii="Century Schoolbook" w:hAnsi="Century Schoolbook"/>
        </w:rPr>
        <w:t xml:space="preserve">specific </w:t>
      </w:r>
      <w:r w:rsidR="00EC5D10" w:rsidRPr="00A32DD3">
        <w:rPr>
          <w:rFonts w:ascii="Century Schoolbook" w:hAnsi="Century Schoolbook"/>
        </w:rPr>
        <w:t xml:space="preserve">components of </w:t>
      </w:r>
      <w:r w:rsidRPr="00A32DD3">
        <w:rPr>
          <w:rFonts w:ascii="Century Schoolbook" w:hAnsi="Century Schoolbook"/>
        </w:rPr>
        <w:t>the Comprehensive Remedial Plan</w:t>
      </w:r>
      <w:r w:rsidR="00D25058" w:rsidRPr="00A32DD3">
        <w:rPr>
          <w:rFonts w:ascii="Century Schoolbook" w:hAnsi="Century Schoolbook"/>
        </w:rPr>
        <w:t xml:space="preserve"> for Years 2 &amp; 3.</w:t>
      </w:r>
      <w:r w:rsidRPr="00A32DD3">
        <w:rPr>
          <w:rFonts w:ascii="Century Schoolbook" w:hAnsi="Century Schoolbook"/>
        </w:rPr>
        <w:t xml:space="preserve"> </w:t>
      </w:r>
      <w:r w:rsidR="001031D6" w:rsidRPr="00A32DD3">
        <w:rPr>
          <w:rFonts w:ascii="Century Schoolbook" w:hAnsi="Century Schoolbook"/>
        </w:rPr>
        <w:t xml:space="preserve"> ECF No. 12</w:t>
      </w:r>
      <w:r w:rsidR="001F1227">
        <w:rPr>
          <w:rFonts w:ascii="Century Schoolbook" w:hAnsi="Century Schoolbook"/>
        </w:rPr>
        <w:t xml:space="preserve"> (with attachments)</w:t>
      </w:r>
      <w:r w:rsidR="001031D6" w:rsidRPr="00A32DD3">
        <w:rPr>
          <w:rFonts w:ascii="Century Schoolbook" w:hAnsi="Century Schoolbook"/>
        </w:rPr>
        <w:t>.</w:t>
      </w:r>
    </w:p>
    <w:p w14:paraId="03753493" w14:textId="0A9062B5" w:rsidR="003728CB" w:rsidRPr="00A32DD3" w:rsidRDefault="00D25058" w:rsidP="00792A3D">
      <w:pPr>
        <w:pStyle w:val="APPNumListwSpace"/>
        <w:numPr>
          <w:ilvl w:val="0"/>
          <w:numId w:val="6"/>
        </w:numPr>
        <w:spacing w:after="0" w:line="480" w:lineRule="auto"/>
        <w:ind w:left="0" w:firstLine="720"/>
        <w:jc w:val="both"/>
        <w:rPr>
          <w:rFonts w:ascii="Century Schoolbook" w:hAnsi="Century Schoolbook"/>
        </w:rPr>
      </w:pPr>
      <w:r w:rsidRPr="00A32DD3">
        <w:rPr>
          <w:rFonts w:ascii="Century Schoolbook" w:hAnsi="Century Schoolbook"/>
        </w:rPr>
        <w:t>Specifically, t</w:t>
      </w:r>
      <w:r w:rsidR="00D24532" w:rsidRPr="00A32DD3">
        <w:rPr>
          <w:rFonts w:ascii="Century Schoolbook" w:hAnsi="Century Schoolbook"/>
        </w:rPr>
        <w:t>he State’s a</w:t>
      </w:r>
      <w:r w:rsidR="00B07B46" w:rsidRPr="00A32DD3">
        <w:rPr>
          <w:rFonts w:ascii="Century Schoolbook" w:hAnsi="Century Schoolbook"/>
        </w:rPr>
        <w:t xml:space="preserve">ccounting was provided through the </w:t>
      </w:r>
      <w:r w:rsidR="001F1227">
        <w:rPr>
          <w:rFonts w:ascii="Century Schoolbook" w:hAnsi="Century Schoolbook"/>
        </w:rPr>
        <w:t>A</w:t>
      </w:r>
      <w:r w:rsidR="00B07B46" w:rsidRPr="00A32DD3">
        <w:rPr>
          <w:rFonts w:ascii="Century Schoolbook" w:hAnsi="Century Schoolbook"/>
        </w:rPr>
        <w:t xml:space="preserve">ffidavit of Kristin L. Walker, Chief Deputy Director of State Budget for the North Carolina Office of State Budget and Management (“Walker Affidavit”). </w:t>
      </w:r>
      <w:r w:rsidR="001031D6" w:rsidRPr="00A32DD3">
        <w:rPr>
          <w:rFonts w:ascii="Century Schoolbook" w:hAnsi="Century Schoolbook"/>
        </w:rPr>
        <w:t xml:space="preserve"> ECF No. 12.</w:t>
      </w:r>
    </w:p>
    <w:p w14:paraId="141E3032" w14:textId="662EF5D4" w:rsidR="00D25058" w:rsidRPr="00A32DD3" w:rsidRDefault="00D25058" w:rsidP="00A66692">
      <w:pPr>
        <w:pStyle w:val="APPNumListwSpace"/>
        <w:numPr>
          <w:ilvl w:val="0"/>
          <w:numId w:val="6"/>
        </w:numPr>
        <w:spacing w:after="0" w:line="480" w:lineRule="auto"/>
        <w:ind w:left="0" w:firstLine="720"/>
        <w:jc w:val="both"/>
        <w:rPr>
          <w:rFonts w:ascii="Century Schoolbook" w:hAnsi="Century Schoolbook"/>
        </w:rPr>
      </w:pPr>
      <w:r w:rsidRPr="00A32DD3">
        <w:rPr>
          <w:rFonts w:ascii="Century Schoolbook" w:hAnsi="Century Schoolbook"/>
        </w:rPr>
        <w:t>Plaintiffs informed the Court that they agree with—and do not dispute—the facts set forth in the Walker Affidavit.</w:t>
      </w:r>
    </w:p>
    <w:p w14:paraId="5D9585A2" w14:textId="2ACEE6DE" w:rsidR="003728CB" w:rsidRPr="00A32DD3" w:rsidRDefault="00C15605" w:rsidP="00A66692">
      <w:pPr>
        <w:pStyle w:val="APPNumListwSpace"/>
        <w:numPr>
          <w:ilvl w:val="0"/>
          <w:numId w:val="6"/>
        </w:numPr>
        <w:spacing w:after="0" w:line="480" w:lineRule="auto"/>
        <w:ind w:left="0" w:firstLine="720"/>
        <w:jc w:val="both"/>
        <w:rPr>
          <w:rFonts w:ascii="Century Schoolbook" w:hAnsi="Century Schoolbook"/>
        </w:rPr>
      </w:pPr>
      <w:r w:rsidRPr="00A32DD3">
        <w:rPr>
          <w:rFonts w:ascii="Century Schoolbook" w:hAnsi="Century Schoolbook"/>
        </w:rPr>
        <w:t xml:space="preserve">The Walker Affidavit establishes that: </w:t>
      </w:r>
    </w:p>
    <w:p w14:paraId="16AB6C23" w14:textId="044C80FC" w:rsidR="003728CB" w:rsidRPr="00A32DD3" w:rsidRDefault="00C15605" w:rsidP="00930235">
      <w:pPr>
        <w:pStyle w:val="APPNumListwSpace"/>
        <w:numPr>
          <w:ilvl w:val="1"/>
          <w:numId w:val="6"/>
        </w:numPr>
        <w:spacing w:after="0" w:line="480" w:lineRule="auto"/>
        <w:ind w:left="1800"/>
        <w:jc w:val="both"/>
        <w:rPr>
          <w:rFonts w:ascii="Century Schoolbook" w:hAnsi="Century Schoolbook"/>
        </w:rPr>
      </w:pPr>
      <w:r w:rsidRPr="00A32DD3">
        <w:rPr>
          <w:rFonts w:ascii="Century Schoolbook" w:hAnsi="Century Schoolbook"/>
        </w:rPr>
        <w:t xml:space="preserve">The State has failed to fully fund Years 2 &amp; 3 of the Plan, as it was required to do under the Court’s previous orders. </w:t>
      </w:r>
      <w:r w:rsidR="001031D6" w:rsidRPr="00A32DD3">
        <w:rPr>
          <w:rFonts w:ascii="Century Schoolbook" w:hAnsi="Century Schoolbook"/>
          <w:i/>
          <w:iCs/>
        </w:rPr>
        <w:t xml:space="preserve">See </w:t>
      </w:r>
      <w:r w:rsidR="001031D6" w:rsidRPr="00A32DD3">
        <w:rPr>
          <w:rFonts w:ascii="Century Schoolbook" w:hAnsi="Century Schoolbook"/>
        </w:rPr>
        <w:t>ECF No. 12 ¶ 6.</w:t>
      </w:r>
    </w:p>
    <w:p w14:paraId="4D85B533" w14:textId="10F53131" w:rsidR="003728CB" w:rsidRPr="00A32DD3" w:rsidRDefault="00C15605" w:rsidP="00930235">
      <w:pPr>
        <w:pStyle w:val="APPNumListwSpace"/>
        <w:numPr>
          <w:ilvl w:val="1"/>
          <w:numId w:val="6"/>
        </w:numPr>
        <w:spacing w:after="0" w:line="480" w:lineRule="auto"/>
        <w:ind w:left="1800"/>
        <w:jc w:val="both"/>
        <w:rPr>
          <w:rFonts w:ascii="Century Schoolbook" w:hAnsi="Century Schoolbook"/>
        </w:rPr>
      </w:pPr>
      <w:r w:rsidRPr="00A32DD3">
        <w:rPr>
          <w:rFonts w:ascii="Century Schoolbook" w:hAnsi="Century Schoolbook"/>
        </w:rPr>
        <w:t xml:space="preserve">Among the </w:t>
      </w:r>
      <w:r w:rsidR="001D0209">
        <w:rPr>
          <w:rFonts w:ascii="Century Schoolbook" w:hAnsi="Century Schoolbook"/>
        </w:rPr>
        <w:t>forty-four (</w:t>
      </w:r>
      <w:r w:rsidRPr="00A32DD3">
        <w:rPr>
          <w:rFonts w:ascii="Century Schoolbook" w:hAnsi="Century Schoolbook"/>
        </w:rPr>
        <w:t>44</w:t>
      </w:r>
      <w:r w:rsidR="001D0209">
        <w:rPr>
          <w:rFonts w:ascii="Century Schoolbook" w:hAnsi="Century Schoolbook"/>
        </w:rPr>
        <w:t>)</w:t>
      </w:r>
      <w:r w:rsidRPr="00A32DD3">
        <w:rPr>
          <w:rFonts w:ascii="Century Schoolbook" w:hAnsi="Century Schoolbook"/>
        </w:rPr>
        <w:t xml:space="preserve"> specific components required to be funded for Year 2, the State provide no funding at all for at least </w:t>
      </w:r>
      <w:r w:rsidR="001D0209">
        <w:rPr>
          <w:rFonts w:ascii="Century Schoolbook" w:hAnsi="Century Schoolbook"/>
        </w:rPr>
        <w:t>twenty-four (</w:t>
      </w:r>
      <w:r w:rsidRPr="00A32DD3">
        <w:rPr>
          <w:rFonts w:ascii="Century Schoolbook" w:hAnsi="Century Schoolbook"/>
        </w:rPr>
        <w:t>24</w:t>
      </w:r>
      <w:r w:rsidR="001D0209">
        <w:rPr>
          <w:rFonts w:ascii="Century Schoolbook" w:hAnsi="Century Schoolbook"/>
        </w:rPr>
        <w:t>)</w:t>
      </w:r>
      <w:r w:rsidRPr="00A32DD3">
        <w:rPr>
          <w:rFonts w:ascii="Century Schoolbook" w:hAnsi="Century Schoolbook"/>
        </w:rPr>
        <w:t xml:space="preserve"> of them and only partial funding for others.  </w:t>
      </w:r>
      <w:r w:rsidR="00D25058" w:rsidRPr="00A32DD3">
        <w:rPr>
          <w:rFonts w:ascii="Century Schoolbook" w:hAnsi="Century Schoolbook"/>
        </w:rPr>
        <w:t>Specifically, t</w:t>
      </w:r>
      <w:r w:rsidRPr="00A32DD3">
        <w:rPr>
          <w:rFonts w:ascii="Century Schoolbook" w:hAnsi="Century Schoolbook"/>
        </w:rPr>
        <w:t xml:space="preserve">he State underfunded Year 2 by $257,418,175.  </w:t>
      </w:r>
      <w:r w:rsidR="001031D6" w:rsidRPr="00A32DD3">
        <w:rPr>
          <w:rFonts w:ascii="Century Schoolbook" w:hAnsi="Century Schoolbook"/>
        </w:rPr>
        <w:t xml:space="preserve">ECF No. </w:t>
      </w:r>
      <w:r w:rsidR="00AF08D5" w:rsidRPr="00A32DD3">
        <w:rPr>
          <w:rFonts w:ascii="Century Schoolbook" w:hAnsi="Century Schoolbook"/>
        </w:rPr>
        <w:t>12.3</w:t>
      </w:r>
      <w:r w:rsidR="00A32DD3" w:rsidRPr="00A32DD3">
        <w:rPr>
          <w:rFonts w:ascii="Century Schoolbook" w:hAnsi="Century Schoolbook"/>
        </w:rPr>
        <w:t xml:space="preserve"> </w:t>
      </w:r>
      <w:r w:rsidR="005E27EA" w:rsidRPr="00A32DD3">
        <w:rPr>
          <w:rFonts w:ascii="Century Schoolbook" w:hAnsi="Century Schoolbook"/>
        </w:rPr>
        <w:t>at 2</w:t>
      </w:r>
      <w:r w:rsidR="00AF08D5" w:rsidRPr="00A32DD3">
        <w:rPr>
          <w:rFonts w:ascii="Century Schoolbook" w:hAnsi="Century Schoolbook"/>
        </w:rPr>
        <w:t>.</w:t>
      </w:r>
    </w:p>
    <w:p w14:paraId="392D7BF6" w14:textId="5EABEA68" w:rsidR="003728CB" w:rsidRPr="00A32DD3" w:rsidRDefault="00C15605" w:rsidP="00930235">
      <w:pPr>
        <w:pStyle w:val="APPNumListwSpace"/>
        <w:numPr>
          <w:ilvl w:val="1"/>
          <w:numId w:val="6"/>
        </w:numPr>
        <w:spacing w:after="0" w:line="480" w:lineRule="auto"/>
        <w:ind w:left="1800"/>
        <w:jc w:val="both"/>
        <w:rPr>
          <w:rFonts w:ascii="Century Schoolbook" w:hAnsi="Century Schoolbook"/>
        </w:rPr>
      </w:pPr>
      <w:r w:rsidRPr="00A32DD3">
        <w:rPr>
          <w:rFonts w:ascii="Century Schoolbook" w:hAnsi="Century Schoolbook"/>
        </w:rPr>
        <w:t xml:space="preserve">Among the </w:t>
      </w:r>
      <w:r w:rsidR="001D0209">
        <w:rPr>
          <w:rFonts w:ascii="Century Schoolbook" w:hAnsi="Century Schoolbook"/>
        </w:rPr>
        <w:t>forty-two (</w:t>
      </w:r>
      <w:r w:rsidRPr="00A32DD3">
        <w:rPr>
          <w:rFonts w:ascii="Century Schoolbook" w:hAnsi="Century Schoolbook"/>
        </w:rPr>
        <w:t>42</w:t>
      </w:r>
      <w:r w:rsidR="001D0209">
        <w:rPr>
          <w:rFonts w:ascii="Century Schoolbook" w:hAnsi="Century Schoolbook"/>
        </w:rPr>
        <w:t>)</w:t>
      </w:r>
      <w:r w:rsidRPr="00A32DD3">
        <w:rPr>
          <w:rFonts w:ascii="Century Schoolbook" w:hAnsi="Century Schoolbook"/>
        </w:rPr>
        <w:t xml:space="preserve"> specific components required to be funded for Year 3, the State provide no funding at all for at least </w:t>
      </w:r>
      <w:r w:rsidR="001D0209">
        <w:rPr>
          <w:rFonts w:ascii="Century Schoolbook" w:hAnsi="Century Schoolbook"/>
        </w:rPr>
        <w:t xml:space="preserve">twenty-two </w:t>
      </w:r>
      <w:r w:rsidR="001D0209">
        <w:rPr>
          <w:rFonts w:ascii="Century Schoolbook" w:hAnsi="Century Schoolbook"/>
        </w:rPr>
        <w:lastRenderedPageBreak/>
        <w:t>(</w:t>
      </w:r>
      <w:r w:rsidRPr="00A32DD3">
        <w:rPr>
          <w:rFonts w:ascii="Century Schoolbook" w:hAnsi="Century Schoolbook"/>
        </w:rPr>
        <w:t>22</w:t>
      </w:r>
      <w:r w:rsidR="001D0209">
        <w:rPr>
          <w:rFonts w:ascii="Century Schoolbook" w:hAnsi="Century Schoolbook"/>
        </w:rPr>
        <w:t>)</w:t>
      </w:r>
      <w:r w:rsidRPr="00A32DD3">
        <w:rPr>
          <w:rFonts w:ascii="Century Schoolbook" w:hAnsi="Century Schoolbook"/>
        </w:rPr>
        <w:t xml:space="preserve"> of them and only partial funding for others.  </w:t>
      </w:r>
      <w:r w:rsidR="00D25058" w:rsidRPr="00A32DD3">
        <w:rPr>
          <w:rFonts w:ascii="Century Schoolbook" w:hAnsi="Century Schoolbook"/>
        </w:rPr>
        <w:t>Specifically, t</w:t>
      </w:r>
      <w:r w:rsidRPr="00A32DD3">
        <w:rPr>
          <w:rFonts w:ascii="Century Schoolbook" w:hAnsi="Century Schoolbook"/>
        </w:rPr>
        <w:t>he State underfunded Year 3 by $537,409,782.</w:t>
      </w:r>
      <w:r w:rsidR="005E27EA" w:rsidRPr="00A32DD3">
        <w:rPr>
          <w:rFonts w:ascii="Century Schoolbook" w:hAnsi="Century Schoolbook"/>
        </w:rPr>
        <w:t xml:space="preserve"> </w:t>
      </w:r>
      <w:r w:rsidR="00AF08D5" w:rsidRPr="00A32DD3">
        <w:rPr>
          <w:rFonts w:ascii="Century Schoolbook" w:hAnsi="Century Schoolbook"/>
          <w:i/>
          <w:iCs/>
        </w:rPr>
        <w:t xml:space="preserve">Id. </w:t>
      </w:r>
    </w:p>
    <w:p w14:paraId="2597EFF0" w14:textId="05FCF7ED" w:rsidR="00C15605" w:rsidRPr="00A32DD3" w:rsidRDefault="00C15605" w:rsidP="00930235">
      <w:pPr>
        <w:pStyle w:val="APPNumListwSpace"/>
        <w:numPr>
          <w:ilvl w:val="1"/>
          <w:numId w:val="6"/>
        </w:numPr>
        <w:spacing w:after="0" w:line="480" w:lineRule="auto"/>
        <w:ind w:left="1800"/>
        <w:jc w:val="both"/>
        <w:rPr>
          <w:rFonts w:ascii="Century Schoolbook" w:hAnsi="Century Schoolbook"/>
        </w:rPr>
      </w:pPr>
      <w:r w:rsidRPr="00A32DD3">
        <w:rPr>
          <w:rFonts w:ascii="Century Schoolbook" w:hAnsi="Century Schoolbook"/>
        </w:rPr>
        <w:t xml:space="preserve">The State has the fiscal resources available to fund Years 2 &amp; 3 of the Plan in full.  The State admits that, as of March 25, 2022, it has a gross cash balance of $9.84 billion and a net unreserved cash balance of $4.79 billion.  </w:t>
      </w:r>
      <w:r w:rsidR="00AF08D5" w:rsidRPr="00A32DD3">
        <w:rPr>
          <w:rFonts w:ascii="Century Schoolbook" w:hAnsi="Century Schoolbook"/>
          <w:i/>
          <w:iCs/>
        </w:rPr>
        <w:t xml:space="preserve">Id. </w:t>
      </w:r>
    </w:p>
    <w:p w14:paraId="7ECC913B" w14:textId="55E4A0F6" w:rsidR="006C37DA" w:rsidRPr="00A32DD3" w:rsidRDefault="006C37DA" w:rsidP="00792A3D">
      <w:pPr>
        <w:pStyle w:val="APPNumListwSpace"/>
        <w:numPr>
          <w:ilvl w:val="0"/>
          <w:numId w:val="6"/>
        </w:numPr>
        <w:spacing w:after="0" w:line="480" w:lineRule="auto"/>
        <w:ind w:left="0" w:firstLine="720"/>
        <w:jc w:val="both"/>
        <w:rPr>
          <w:rFonts w:ascii="Century Schoolbook" w:hAnsi="Century Schoolbook"/>
        </w:rPr>
      </w:pPr>
      <w:r w:rsidRPr="00A32DD3">
        <w:rPr>
          <w:rFonts w:ascii="Century Schoolbook" w:hAnsi="Century Schoolbook"/>
          <w:iCs/>
        </w:rPr>
        <w:t xml:space="preserve">There are three agencies charged with administering the respective components of Years 2 &amp; 3 of the Comprehensive </w:t>
      </w:r>
      <w:r w:rsidR="001F1227">
        <w:rPr>
          <w:rFonts w:ascii="Century Schoolbook" w:hAnsi="Century Schoolbook"/>
          <w:iCs/>
        </w:rPr>
        <w:t xml:space="preserve">Remedial </w:t>
      </w:r>
      <w:r w:rsidRPr="00A32DD3">
        <w:rPr>
          <w:rFonts w:ascii="Century Schoolbook" w:hAnsi="Century Schoolbook"/>
          <w:iCs/>
        </w:rPr>
        <w:t xml:space="preserve">Plan:  the Department of Public Instruction (“DPI”), the Department of Health and Human Services (“DHHS”), and the University of North Carolina System (“UNC”).  </w:t>
      </w:r>
      <w:r w:rsidR="00AF08D5" w:rsidRPr="00A32DD3">
        <w:rPr>
          <w:rFonts w:ascii="Century Schoolbook" w:hAnsi="Century Schoolbook"/>
          <w:i/>
          <w:iCs/>
        </w:rPr>
        <w:t>Id.</w:t>
      </w:r>
    </w:p>
    <w:p w14:paraId="3CF37FE4" w14:textId="54BFF14C" w:rsidR="000A1933" w:rsidRPr="00A32DD3" w:rsidRDefault="00D25058" w:rsidP="00A66692">
      <w:pPr>
        <w:pStyle w:val="APPNumListwSpace"/>
        <w:numPr>
          <w:ilvl w:val="0"/>
          <w:numId w:val="6"/>
        </w:numPr>
        <w:spacing w:after="0" w:line="480" w:lineRule="auto"/>
        <w:ind w:left="0" w:firstLine="720"/>
        <w:jc w:val="both"/>
        <w:rPr>
          <w:rFonts w:ascii="Century Schoolbook" w:hAnsi="Century Schoolbook"/>
        </w:rPr>
      </w:pPr>
      <w:r w:rsidRPr="00A32DD3">
        <w:rPr>
          <w:rFonts w:ascii="Century Schoolbook" w:hAnsi="Century Schoolbook"/>
        </w:rPr>
        <w:t xml:space="preserve">For Year </w:t>
      </w:r>
      <w:r w:rsidR="00CB5545" w:rsidRPr="00A32DD3">
        <w:rPr>
          <w:rFonts w:ascii="Century Schoolbook" w:hAnsi="Century Schoolbook"/>
        </w:rPr>
        <w:t xml:space="preserve">2 of the Plan, </w:t>
      </w:r>
      <w:r w:rsidR="00542B75" w:rsidRPr="00A32DD3">
        <w:rPr>
          <w:rFonts w:ascii="Century Schoolbook" w:hAnsi="Century Schoolbook"/>
        </w:rPr>
        <w:t xml:space="preserve">the State acknowledges that </w:t>
      </w:r>
      <w:r w:rsidR="00CB5545" w:rsidRPr="00A32DD3">
        <w:rPr>
          <w:rFonts w:ascii="Century Schoolbook" w:hAnsi="Century Schoolbook"/>
        </w:rPr>
        <w:t xml:space="preserve">DPI </w:t>
      </w:r>
      <w:r w:rsidR="006C37DA" w:rsidRPr="00A32DD3">
        <w:rPr>
          <w:rFonts w:ascii="Century Schoolbook" w:hAnsi="Century Schoolbook"/>
        </w:rPr>
        <w:t>needed</w:t>
      </w:r>
      <w:r w:rsidR="00CB5545" w:rsidRPr="00A32DD3">
        <w:rPr>
          <w:rFonts w:ascii="Century Schoolbook" w:hAnsi="Century Schoolbook"/>
        </w:rPr>
        <w:t xml:space="preserve"> a total amount of $597,551,500</w:t>
      </w:r>
      <w:r w:rsidR="00A66692" w:rsidRPr="00A32DD3">
        <w:rPr>
          <w:rFonts w:ascii="Century Schoolbook" w:hAnsi="Century Schoolbook"/>
        </w:rPr>
        <w:t xml:space="preserve"> to</w:t>
      </w:r>
      <w:r w:rsidR="00CB5545" w:rsidRPr="00A32DD3">
        <w:rPr>
          <w:rFonts w:ascii="Century Schoolbook" w:hAnsi="Century Schoolbook"/>
        </w:rPr>
        <w:t xml:space="preserve"> </w:t>
      </w:r>
      <w:r w:rsidR="006C37DA" w:rsidRPr="00A32DD3">
        <w:rPr>
          <w:rFonts w:ascii="Century Schoolbook" w:hAnsi="Century Schoolbook"/>
        </w:rPr>
        <w:t>implement specific components of the Plan that it was charged with administering.</w:t>
      </w:r>
      <w:r w:rsidR="00CB5545" w:rsidRPr="00A32DD3">
        <w:rPr>
          <w:rFonts w:ascii="Century Schoolbook" w:hAnsi="Century Schoolbook"/>
        </w:rPr>
        <w:t xml:space="preserve"> </w:t>
      </w:r>
      <w:r w:rsidRPr="00A32DD3">
        <w:rPr>
          <w:rFonts w:ascii="Century Schoolbook" w:hAnsi="Century Schoolbook"/>
        </w:rPr>
        <w:t xml:space="preserve"> </w:t>
      </w:r>
      <w:r w:rsidR="00542B75" w:rsidRPr="00A32DD3">
        <w:rPr>
          <w:rFonts w:ascii="Century Schoolbook" w:hAnsi="Century Schoolbook"/>
        </w:rPr>
        <w:t>As the State also acknowledges, t</w:t>
      </w:r>
      <w:r w:rsidR="00CB5545" w:rsidRPr="00A32DD3">
        <w:rPr>
          <w:rFonts w:ascii="Century Schoolbook" w:hAnsi="Century Schoolbook"/>
        </w:rPr>
        <w:t xml:space="preserve">he </w:t>
      </w:r>
      <w:r w:rsidRPr="00A32DD3">
        <w:rPr>
          <w:rFonts w:ascii="Century Schoolbook" w:hAnsi="Century Schoolbook"/>
        </w:rPr>
        <w:t xml:space="preserve">Appropriations Act, however, </w:t>
      </w:r>
      <w:r w:rsidR="000A1933" w:rsidRPr="00A32DD3">
        <w:rPr>
          <w:rFonts w:ascii="Century Schoolbook" w:hAnsi="Century Schoolbook"/>
        </w:rPr>
        <w:t>provided</w:t>
      </w:r>
      <w:r w:rsidR="006C37DA" w:rsidRPr="00A32DD3">
        <w:rPr>
          <w:rFonts w:ascii="Century Schoolbook" w:hAnsi="Century Schoolbook"/>
        </w:rPr>
        <w:t xml:space="preserve"> only </w:t>
      </w:r>
      <w:r w:rsidR="00CB5545" w:rsidRPr="00A32DD3">
        <w:rPr>
          <w:rFonts w:ascii="Century Schoolbook" w:hAnsi="Century Schoolbook"/>
        </w:rPr>
        <w:t>$419,866,224</w:t>
      </w:r>
      <w:r w:rsidR="000A1933" w:rsidRPr="00A32DD3">
        <w:rPr>
          <w:rFonts w:ascii="Century Schoolbook" w:hAnsi="Century Schoolbook"/>
        </w:rPr>
        <w:t xml:space="preserve"> </w:t>
      </w:r>
      <w:r w:rsidRPr="00A32DD3">
        <w:rPr>
          <w:rFonts w:ascii="Century Schoolbook" w:hAnsi="Century Schoolbook"/>
        </w:rPr>
        <w:t>of the</w:t>
      </w:r>
      <w:r w:rsidR="006C37DA" w:rsidRPr="00A32DD3">
        <w:rPr>
          <w:rFonts w:ascii="Century Schoolbook" w:hAnsi="Century Schoolbook"/>
        </w:rPr>
        <w:t>se</w:t>
      </w:r>
      <w:r w:rsidRPr="00A32DD3">
        <w:rPr>
          <w:rFonts w:ascii="Century Schoolbook" w:hAnsi="Century Schoolbook"/>
        </w:rPr>
        <w:t xml:space="preserve"> required amount</w:t>
      </w:r>
      <w:r w:rsidR="006C37DA" w:rsidRPr="00A32DD3">
        <w:rPr>
          <w:rFonts w:ascii="Century Schoolbook" w:hAnsi="Century Schoolbook"/>
        </w:rPr>
        <w:t>s</w:t>
      </w:r>
      <w:r w:rsidR="000A1933" w:rsidRPr="00A32DD3">
        <w:rPr>
          <w:rFonts w:ascii="Century Schoolbook" w:hAnsi="Century Schoolbook"/>
        </w:rPr>
        <w:t xml:space="preserve">. </w:t>
      </w:r>
      <w:r w:rsidR="00AF08D5" w:rsidRPr="00A32DD3">
        <w:rPr>
          <w:rFonts w:ascii="Century Schoolbook" w:hAnsi="Century Schoolbook"/>
          <w:i/>
          <w:iCs/>
        </w:rPr>
        <w:t>Id.</w:t>
      </w:r>
    </w:p>
    <w:p w14:paraId="6F42606C" w14:textId="3EFFE239" w:rsidR="000A1933" w:rsidRPr="00A32DD3" w:rsidRDefault="00A66692" w:rsidP="001F1227">
      <w:pPr>
        <w:pStyle w:val="APPNumListwSpace"/>
        <w:numPr>
          <w:ilvl w:val="0"/>
          <w:numId w:val="6"/>
        </w:numPr>
        <w:spacing w:after="0" w:line="480" w:lineRule="auto"/>
        <w:ind w:left="0" w:firstLine="720"/>
        <w:jc w:val="both"/>
        <w:rPr>
          <w:rFonts w:ascii="Century Schoolbook" w:hAnsi="Century Schoolbook"/>
        </w:rPr>
      </w:pPr>
      <w:r w:rsidRPr="00A32DD3">
        <w:rPr>
          <w:rFonts w:ascii="Century Schoolbook" w:hAnsi="Century Schoolbook"/>
        </w:rPr>
        <w:t>For Year 2</w:t>
      </w:r>
      <w:r w:rsidR="000A1933" w:rsidRPr="00A32DD3">
        <w:rPr>
          <w:rFonts w:ascii="Century Schoolbook" w:hAnsi="Century Schoolbook"/>
        </w:rPr>
        <w:t xml:space="preserve"> of the Plan, the State </w:t>
      </w:r>
      <w:r w:rsidRPr="00A32DD3">
        <w:rPr>
          <w:rFonts w:ascii="Century Schoolbook" w:hAnsi="Century Schoolbook"/>
        </w:rPr>
        <w:t xml:space="preserve">acknowledges </w:t>
      </w:r>
      <w:r w:rsidR="000A1933" w:rsidRPr="00A32DD3">
        <w:rPr>
          <w:rFonts w:ascii="Century Schoolbook" w:hAnsi="Century Schoolbook"/>
        </w:rPr>
        <w:t>that DHHS need</w:t>
      </w:r>
      <w:r w:rsidRPr="00A32DD3">
        <w:rPr>
          <w:rFonts w:ascii="Century Schoolbook" w:hAnsi="Century Schoolbook"/>
        </w:rPr>
        <w:t>ed</w:t>
      </w:r>
      <w:r w:rsidR="000A1933" w:rsidRPr="00A32DD3">
        <w:rPr>
          <w:rFonts w:ascii="Century Schoolbook" w:hAnsi="Century Schoolbook"/>
        </w:rPr>
        <w:t xml:space="preserve"> a total amount of $76,400,000 to </w:t>
      </w:r>
      <w:r w:rsidRPr="00A32DD3">
        <w:rPr>
          <w:rFonts w:ascii="Century Schoolbook" w:hAnsi="Century Schoolbook"/>
        </w:rPr>
        <w:t>implement specific components of the Plan that it was charged with administering.</w:t>
      </w:r>
      <w:r w:rsidR="000A1933" w:rsidRPr="00A32DD3">
        <w:rPr>
          <w:rFonts w:ascii="Century Schoolbook" w:hAnsi="Century Schoolbook"/>
        </w:rPr>
        <w:t xml:space="preserve"> </w:t>
      </w:r>
      <w:r w:rsidR="001F1227">
        <w:rPr>
          <w:rFonts w:ascii="Century Schoolbook" w:hAnsi="Century Schoolbook"/>
        </w:rPr>
        <w:t xml:space="preserve"> </w:t>
      </w:r>
      <w:r w:rsidRPr="00A32DD3">
        <w:rPr>
          <w:rFonts w:ascii="Century Schoolbook" w:hAnsi="Century Schoolbook"/>
        </w:rPr>
        <w:t xml:space="preserve">As the State also acknowledges, the Appropriations Act, however, provided only </w:t>
      </w:r>
      <w:r w:rsidR="000A1933" w:rsidRPr="00A32DD3">
        <w:rPr>
          <w:rFonts w:ascii="Century Schoolbook" w:hAnsi="Century Schoolbook"/>
        </w:rPr>
        <w:t xml:space="preserve">$9,846,101 </w:t>
      </w:r>
      <w:r w:rsidRPr="00A32DD3">
        <w:rPr>
          <w:rFonts w:ascii="Century Schoolbook" w:hAnsi="Century Schoolbook"/>
        </w:rPr>
        <w:t>of these required amounts</w:t>
      </w:r>
      <w:r w:rsidR="000A1933" w:rsidRPr="00A32DD3">
        <w:rPr>
          <w:rFonts w:ascii="Century Schoolbook" w:hAnsi="Century Schoolbook"/>
        </w:rPr>
        <w:t>.</w:t>
      </w:r>
      <w:r w:rsidR="00C577FC" w:rsidRPr="00A32DD3">
        <w:rPr>
          <w:rFonts w:ascii="Century Schoolbook" w:hAnsi="Century Schoolbook"/>
        </w:rPr>
        <w:t xml:space="preserve"> </w:t>
      </w:r>
      <w:r w:rsidR="00AF08D5" w:rsidRPr="00A32DD3">
        <w:rPr>
          <w:rFonts w:ascii="Century Schoolbook" w:hAnsi="Century Schoolbook"/>
          <w:i/>
          <w:iCs/>
        </w:rPr>
        <w:t>Id.</w:t>
      </w:r>
      <w:r w:rsidR="00AF08D5" w:rsidRPr="00A32DD3" w:rsidDel="00AF08D5">
        <w:rPr>
          <w:rFonts w:ascii="Century Schoolbook" w:hAnsi="Century Schoolbook"/>
        </w:rPr>
        <w:t xml:space="preserve"> </w:t>
      </w:r>
    </w:p>
    <w:p w14:paraId="4C42F858" w14:textId="79966AE9" w:rsidR="003728CB" w:rsidRPr="00A32DD3" w:rsidRDefault="00A66692" w:rsidP="001F1227">
      <w:pPr>
        <w:pStyle w:val="APPNumListwSpace"/>
        <w:numPr>
          <w:ilvl w:val="0"/>
          <w:numId w:val="6"/>
        </w:numPr>
        <w:spacing w:after="0" w:line="480" w:lineRule="auto"/>
        <w:ind w:left="0" w:firstLine="720"/>
        <w:jc w:val="both"/>
        <w:rPr>
          <w:rFonts w:ascii="Century Schoolbook" w:hAnsi="Century Schoolbook"/>
        </w:rPr>
      </w:pPr>
      <w:r w:rsidRPr="00A32DD3">
        <w:rPr>
          <w:rFonts w:ascii="Century Schoolbook" w:hAnsi="Century Schoolbook"/>
        </w:rPr>
        <w:t>For Year</w:t>
      </w:r>
      <w:r w:rsidR="000A1933" w:rsidRPr="00A32DD3">
        <w:rPr>
          <w:rFonts w:ascii="Century Schoolbook" w:hAnsi="Century Schoolbook"/>
        </w:rPr>
        <w:t xml:space="preserve"> 2 of the Plan, the State </w:t>
      </w:r>
      <w:r w:rsidRPr="00A32DD3">
        <w:rPr>
          <w:rFonts w:ascii="Century Schoolbook" w:hAnsi="Century Schoolbook"/>
        </w:rPr>
        <w:t xml:space="preserve">acknowledges </w:t>
      </w:r>
      <w:r w:rsidR="000A1933" w:rsidRPr="00A32DD3">
        <w:rPr>
          <w:rFonts w:ascii="Century Schoolbook" w:hAnsi="Century Schoolbook"/>
        </w:rPr>
        <w:t>that UNC need</w:t>
      </w:r>
      <w:r w:rsidRPr="00A32DD3">
        <w:rPr>
          <w:rFonts w:ascii="Century Schoolbook" w:hAnsi="Century Schoolbook"/>
        </w:rPr>
        <w:t>ed</w:t>
      </w:r>
      <w:r w:rsidR="000A1933" w:rsidRPr="00A32DD3">
        <w:rPr>
          <w:rFonts w:ascii="Century Schoolbook" w:hAnsi="Century Schoolbook"/>
        </w:rPr>
        <w:t xml:space="preserve"> a total amount of $16,700</w:t>
      </w:r>
      <w:r w:rsidR="00AF08D5" w:rsidRPr="00A32DD3">
        <w:rPr>
          <w:rFonts w:ascii="Century Schoolbook" w:hAnsi="Century Schoolbook"/>
        </w:rPr>
        <w:t>,000</w:t>
      </w:r>
      <w:r w:rsidR="000A1933" w:rsidRPr="00A32DD3">
        <w:rPr>
          <w:rFonts w:ascii="Century Schoolbook" w:hAnsi="Century Schoolbook"/>
        </w:rPr>
        <w:t xml:space="preserve"> </w:t>
      </w:r>
      <w:r w:rsidRPr="00A32DD3">
        <w:rPr>
          <w:rFonts w:ascii="Century Schoolbook" w:hAnsi="Century Schoolbook"/>
        </w:rPr>
        <w:t>to implement specific components of the Plan that it was charged with administering.  As the State also acknowledges, the Appropriations Act, however, provided only $3,521,000</w:t>
      </w:r>
      <w:r w:rsidR="00AF08D5" w:rsidRPr="00A32DD3">
        <w:rPr>
          <w:rFonts w:ascii="Century Schoolbook" w:hAnsi="Century Schoolbook"/>
        </w:rPr>
        <w:t xml:space="preserve"> </w:t>
      </w:r>
      <w:r w:rsidRPr="00A32DD3">
        <w:rPr>
          <w:rFonts w:ascii="Century Schoolbook" w:hAnsi="Century Schoolbook"/>
        </w:rPr>
        <w:t xml:space="preserve">of these required amounts. </w:t>
      </w:r>
      <w:r w:rsidR="00AF08D5" w:rsidRPr="00A32DD3">
        <w:rPr>
          <w:rFonts w:ascii="Century Schoolbook" w:hAnsi="Century Schoolbook"/>
          <w:i/>
          <w:iCs/>
        </w:rPr>
        <w:t>Id.</w:t>
      </w:r>
    </w:p>
    <w:p w14:paraId="2365C150" w14:textId="1A90746B" w:rsidR="003728CB" w:rsidRPr="00A32DD3" w:rsidRDefault="000A1933" w:rsidP="001F1227">
      <w:pPr>
        <w:pStyle w:val="APPNumListwSpace"/>
        <w:numPr>
          <w:ilvl w:val="0"/>
          <w:numId w:val="6"/>
        </w:numPr>
        <w:spacing w:after="0" w:line="480" w:lineRule="auto"/>
        <w:ind w:left="0" w:firstLine="720"/>
        <w:jc w:val="both"/>
        <w:rPr>
          <w:rFonts w:ascii="Century Schoolbook" w:hAnsi="Century Schoolbook"/>
        </w:rPr>
      </w:pPr>
      <w:r w:rsidRPr="00A32DD3">
        <w:rPr>
          <w:rFonts w:ascii="Century Schoolbook" w:hAnsi="Century Schoolbook"/>
        </w:rPr>
        <w:lastRenderedPageBreak/>
        <w:t xml:space="preserve">In </w:t>
      </w:r>
      <w:r w:rsidR="000B226B" w:rsidRPr="00A32DD3">
        <w:rPr>
          <w:rFonts w:ascii="Century Schoolbook" w:hAnsi="Century Schoolbook"/>
        </w:rPr>
        <w:t>Year 3</w:t>
      </w:r>
      <w:r w:rsidRPr="00A32DD3">
        <w:rPr>
          <w:rFonts w:ascii="Century Schoolbook" w:hAnsi="Century Schoolbook"/>
        </w:rPr>
        <w:t xml:space="preserve"> of the Plan, the State </w:t>
      </w:r>
      <w:r w:rsidR="000B226B" w:rsidRPr="00A32DD3">
        <w:rPr>
          <w:rFonts w:ascii="Century Schoolbook" w:hAnsi="Century Schoolbook"/>
        </w:rPr>
        <w:t xml:space="preserve">acknowledges </w:t>
      </w:r>
      <w:r w:rsidRPr="00A32DD3">
        <w:rPr>
          <w:rFonts w:ascii="Century Schoolbook" w:hAnsi="Century Schoolbook"/>
        </w:rPr>
        <w:t>that DPI need</w:t>
      </w:r>
      <w:r w:rsidR="000B226B" w:rsidRPr="00A32DD3">
        <w:rPr>
          <w:rFonts w:ascii="Century Schoolbook" w:hAnsi="Century Schoolbook"/>
        </w:rPr>
        <w:t>ed</w:t>
      </w:r>
      <w:r w:rsidRPr="00A32DD3">
        <w:rPr>
          <w:rFonts w:ascii="Century Schoolbook" w:hAnsi="Century Schoolbook"/>
        </w:rPr>
        <w:t xml:space="preserve"> a total amount of $924,501,500 </w:t>
      </w:r>
      <w:r w:rsidR="000B226B" w:rsidRPr="00A32DD3">
        <w:rPr>
          <w:rFonts w:ascii="Century Schoolbook" w:hAnsi="Century Schoolbook"/>
        </w:rPr>
        <w:t>to implement specific components of the Plan that it was charged with administering.</w:t>
      </w:r>
      <w:r w:rsidRPr="00A32DD3">
        <w:rPr>
          <w:rFonts w:ascii="Century Schoolbook" w:hAnsi="Century Schoolbook"/>
        </w:rPr>
        <w:t xml:space="preserve"> </w:t>
      </w:r>
      <w:r w:rsidR="001F1227">
        <w:rPr>
          <w:rFonts w:ascii="Century Schoolbook" w:hAnsi="Century Schoolbook"/>
        </w:rPr>
        <w:t xml:space="preserve"> </w:t>
      </w:r>
      <w:r w:rsidR="000B226B" w:rsidRPr="00A32DD3">
        <w:rPr>
          <w:rFonts w:ascii="Century Schoolbook" w:hAnsi="Century Schoolbook"/>
        </w:rPr>
        <w:t xml:space="preserve">As the State also acknowledges, the Appropriations Act, however, provided only </w:t>
      </w:r>
      <w:r w:rsidRPr="00A32DD3">
        <w:rPr>
          <w:rFonts w:ascii="Century Schoolbook" w:hAnsi="Century Schoolbook"/>
        </w:rPr>
        <w:t xml:space="preserve">$508,558,580 </w:t>
      </w:r>
      <w:r w:rsidR="000B226B" w:rsidRPr="00A32DD3">
        <w:rPr>
          <w:rFonts w:ascii="Century Schoolbook" w:hAnsi="Century Schoolbook"/>
        </w:rPr>
        <w:t>of these required amounts</w:t>
      </w:r>
      <w:r w:rsidRPr="00A32DD3">
        <w:rPr>
          <w:rFonts w:ascii="Century Schoolbook" w:hAnsi="Century Schoolbook"/>
        </w:rPr>
        <w:t>.</w:t>
      </w:r>
      <w:r w:rsidR="000B226B" w:rsidRPr="00A32DD3">
        <w:rPr>
          <w:rFonts w:ascii="Century Schoolbook" w:hAnsi="Century Schoolbook"/>
        </w:rPr>
        <w:t xml:space="preserve">  </w:t>
      </w:r>
      <w:r w:rsidR="00AF08D5" w:rsidRPr="00A32DD3">
        <w:rPr>
          <w:rFonts w:ascii="Century Schoolbook" w:hAnsi="Century Schoolbook"/>
          <w:i/>
          <w:iCs/>
        </w:rPr>
        <w:t>Id.</w:t>
      </w:r>
    </w:p>
    <w:p w14:paraId="69D065E4" w14:textId="4644FF36" w:rsidR="003728CB" w:rsidRPr="00A32DD3" w:rsidRDefault="000B226B" w:rsidP="001F1227">
      <w:pPr>
        <w:pStyle w:val="APPNumListwSpace"/>
        <w:numPr>
          <w:ilvl w:val="0"/>
          <w:numId w:val="6"/>
        </w:numPr>
        <w:spacing w:after="0" w:line="480" w:lineRule="auto"/>
        <w:ind w:left="0" w:firstLine="720"/>
        <w:jc w:val="both"/>
        <w:rPr>
          <w:rFonts w:ascii="Century Schoolbook" w:hAnsi="Century Schoolbook"/>
        </w:rPr>
      </w:pPr>
      <w:r w:rsidRPr="00A32DD3">
        <w:rPr>
          <w:rFonts w:ascii="Century Schoolbook" w:hAnsi="Century Schoolbook"/>
        </w:rPr>
        <w:t xml:space="preserve">For Year 3 of the Plan, the State acknowledges </w:t>
      </w:r>
      <w:r w:rsidR="000A1933" w:rsidRPr="00A32DD3">
        <w:rPr>
          <w:rFonts w:ascii="Century Schoolbook" w:hAnsi="Century Schoolbook"/>
        </w:rPr>
        <w:t xml:space="preserve">that DHHS </w:t>
      </w:r>
      <w:r w:rsidRPr="00A32DD3">
        <w:rPr>
          <w:rFonts w:ascii="Century Schoolbook" w:hAnsi="Century Schoolbook"/>
        </w:rPr>
        <w:t>needed a total amount of</w:t>
      </w:r>
      <w:r w:rsidR="000A1933" w:rsidRPr="00A32DD3">
        <w:rPr>
          <w:rFonts w:ascii="Century Schoolbook" w:hAnsi="Century Schoolbook"/>
        </w:rPr>
        <w:t xml:space="preserve"> $113,400,000 </w:t>
      </w:r>
      <w:r w:rsidRPr="00A32DD3">
        <w:rPr>
          <w:rFonts w:ascii="Century Schoolbook" w:hAnsi="Century Schoolbook"/>
        </w:rPr>
        <w:t>to implement specific components of the Plan that it was charged with administering</w:t>
      </w:r>
      <w:r w:rsidR="000A1933" w:rsidRPr="00A32DD3">
        <w:rPr>
          <w:rFonts w:ascii="Century Schoolbook" w:hAnsi="Century Schoolbook"/>
        </w:rPr>
        <w:t xml:space="preserve">. </w:t>
      </w:r>
      <w:r w:rsidR="001F1227">
        <w:rPr>
          <w:rFonts w:ascii="Century Schoolbook" w:hAnsi="Century Schoolbook"/>
        </w:rPr>
        <w:t xml:space="preserve"> </w:t>
      </w:r>
      <w:r w:rsidRPr="00A32DD3">
        <w:rPr>
          <w:rFonts w:ascii="Century Schoolbook" w:hAnsi="Century Schoolbook"/>
        </w:rPr>
        <w:t>As the State also acknowledges, the Appropriations Act, however, provided only</w:t>
      </w:r>
      <w:r w:rsidR="000A1933" w:rsidRPr="00A32DD3">
        <w:rPr>
          <w:rFonts w:ascii="Century Schoolbook" w:hAnsi="Century Schoolbook"/>
        </w:rPr>
        <w:t xml:space="preserve"> $</w:t>
      </w:r>
      <w:r w:rsidR="006779B1" w:rsidRPr="00A32DD3">
        <w:rPr>
          <w:rFonts w:ascii="Century Schoolbook" w:hAnsi="Century Schoolbook"/>
        </w:rPr>
        <w:t>11,512,138</w:t>
      </w:r>
      <w:r w:rsidR="000A1933" w:rsidRPr="00A32DD3">
        <w:rPr>
          <w:rFonts w:ascii="Century Schoolbook" w:hAnsi="Century Schoolbook"/>
        </w:rPr>
        <w:t xml:space="preserve"> </w:t>
      </w:r>
      <w:r w:rsidRPr="00A32DD3">
        <w:rPr>
          <w:rFonts w:ascii="Century Schoolbook" w:hAnsi="Century Schoolbook"/>
        </w:rPr>
        <w:t>of these required amounts</w:t>
      </w:r>
      <w:r w:rsidR="000A1933" w:rsidRPr="00A32DD3">
        <w:rPr>
          <w:rFonts w:ascii="Century Schoolbook" w:hAnsi="Century Schoolbook"/>
        </w:rPr>
        <w:t>.</w:t>
      </w:r>
      <w:r w:rsidR="00C577FC" w:rsidRPr="00A32DD3">
        <w:rPr>
          <w:rFonts w:ascii="Century Schoolbook" w:hAnsi="Century Schoolbook"/>
        </w:rPr>
        <w:t xml:space="preserve"> </w:t>
      </w:r>
      <w:r w:rsidR="00AF08D5" w:rsidRPr="00A32DD3">
        <w:rPr>
          <w:rFonts w:ascii="Century Schoolbook" w:hAnsi="Century Schoolbook"/>
          <w:i/>
          <w:iCs/>
        </w:rPr>
        <w:t>Id.</w:t>
      </w:r>
      <w:r w:rsidR="00AF08D5" w:rsidRPr="00A32DD3" w:rsidDel="00AF08D5">
        <w:rPr>
          <w:rFonts w:ascii="Century Schoolbook" w:hAnsi="Century Schoolbook"/>
        </w:rPr>
        <w:t xml:space="preserve"> </w:t>
      </w:r>
    </w:p>
    <w:p w14:paraId="395D1ABF" w14:textId="29D67B74" w:rsidR="003728CB" w:rsidRPr="00A32DD3" w:rsidRDefault="006779B1" w:rsidP="001F1227">
      <w:pPr>
        <w:pStyle w:val="APPNumListwSpace"/>
        <w:numPr>
          <w:ilvl w:val="0"/>
          <w:numId w:val="6"/>
        </w:numPr>
        <w:spacing w:after="0" w:line="480" w:lineRule="auto"/>
        <w:ind w:left="0" w:firstLine="720"/>
        <w:jc w:val="both"/>
        <w:rPr>
          <w:rFonts w:ascii="Century Schoolbook" w:hAnsi="Century Schoolbook"/>
        </w:rPr>
      </w:pPr>
      <w:r w:rsidRPr="00A32DD3">
        <w:rPr>
          <w:rFonts w:ascii="Century Schoolbook" w:hAnsi="Century Schoolbook"/>
        </w:rPr>
        <w:t xml:space="preserve">In </w:t>
      </w:r>
      <w:r w:rsidR="001F1227">
        <w:rPr>
          <w:rFonts w:ascii="Century Schoolbook" w:hAnsi="Century Schoolbook"/>
        </w:rPr>
        <w:t>Y</w:t>
      </w:r>
      <w:r w:rsidRPr="00A32DD3">
        <w:rPr>
          <w:rFonts w:ascii="Century Schoolbook" w:hAnsi="Century Schoolbook"/>
        </w:rPr>
        <w:t xml:space="preserve">ear 3 of the Plan, the State </w:t>
      </w:r>
      <w:r w:rsidR="00AF08D5" w:rsidRPr="00A32DD3">
        <w:rPr>
          <w:rFonts w:ascii="Century Schoolbook" w:hAnsi="Century Schoolbook"/>
        </w:rPr>
        <w:t xml:space="preserve">acknowledges </w:t>
      </w:r>
      <w:r w:rsidRPr="00A32DD3">
        <w:rPr>
          <w:rFonts w:ascii="Century Schoolbook" w:hAnsi="Century Schoolbook"/>
        </w:rPr>
        <w:t xml:space="preserve">that UNC </w:t>
      </w:r>
      <w:r w:rsidR="00AF08D5" w:rsidRPr="00A32DD3">
        <w:rPr>
          <w:rFonts w:ascii="Century Schoolbook" w:hAnsi="Century Schoolbook"/>
        </w:rPr>
        <w:t>needed a total amount of</w:t>
      </w:r>
      <w:r w:rsidRPr="00A32DD3">
        <w:rPr>
          <w:rFonts w:ascii="Century Schoolbook" w:hAnsi="Century Schoolbook"/>
        </w:rPr>
        <w:t xml:space="preserve"> $24,600,000 </w:t>
      </w:r>
      <w:r w:rsidR="00351588" w:rsidRPr="00A32DD3">
        <w:rPr>
          <w:rFonts w:ascii="Century Schoolbook" w:hAnsi="Century Schoolbook"/>
        </w:rPr>
        <w:t>to implement specific components of the Plan that it was charged with administering</w:t>
      </w:r>
      <w:r w:rsidRPr="00A32DD3">
        <w:rPr>
          <w:rFonts w:ascii="Century Schoolbook" w:hAnsi="Century Schoolbook"/>
        </w:rPr>
        <w:t xml:space="preserve">. </w:t>
      </w:r>
      <w:r w:rsidR="001F1227">
        <w:rPr>
          <w:rFonts w:ascii="Century Schoolbook" w:hAnsi="Century Schoolbook"/>
        </w:rPr>
        <w:t xml:space="preserve"> </w:t>
      </w:r>
      <w:r w:rsidR="00351588" w:rsidRPr="00A32DD3">
        <w:rPr>
          <w:rFonts w:ascii="Century Schoolbook" w:hAnsi="Century Schoolbook"/>
        </w:rPr>
        <w:t xml:space="preserve">As the State also acknowledges, the Appropriations Act, however, provided only </w:t>
      </w:r>
      <w:r w:rsidRPr="00A32DD3">
        <w:rPr>
          <w:rFonts w:ascii="Century Schoolbook" w:hAnsi="Century Schoolbook"/>
        </w:rPr>
        <w:t xml:space="preserve">$5,021,000 to UNC </w:t>
      </w:r>
      <w:r w:rsidR="00351588" w:rsidRPr="00A32DD3">
        <w:rPr>
          <w:rFonts w:ascii="Century Schoolbook" w:hAnsi="Century Schoolbook"/>
        </w:rPr>
        <w:t>of these required amounts</w:t>
      </w:r>
      <w:r w:rsidRPr="00A32DD3">
        <w:rPr>
          <w:rFonts w:ascii="Century Schoolbook" w:hAnsi="Century Schoolbook"/>
        </w:rPr>
        <w:t xml:space="preserve">. </w:t>
      </w:r>
      <w:r w:rsidR="00AF08D5" w:rsidRPr="00A32DD3">
        <w:rPr>
          <w:rFonts w:ascii="Century Schoolbook" w:hAnsi="Century Schoolbook"/>
          <w:i/>
          <w:iCs/>
        </w:rPr>
        <w:t>Id.</w:t>
      </w:r>
    </w:p>
    <w:p w14:paraId="72DCD8C9" w14:textId="54612124" w:rsidR="006C37DA" w:rsidRPr="00A32DD3" w:rsidRDefault="00DE0803" w:rsidP="001F1227">
      <w:pPr>
        <w:pStyle w:val="ListParagraph"/>
        <w:numPr>
          <w:ilvl w:val="0"/>
          <w:numId w:val="6"/>
        </w:numPr>
        <w:spacing w:line="480" w:lineRule="auto"/>
        <w:ind w:left="0" w:firstLine="720"/>
        <w:jc w:val="both"/>
        <w:rPr>
          <w:rFonts w:ascii="Century Schoolbook" w:hAnsi="Century Schoolbook"/>
          <w:iCs/>
        </w:rPr>
      </w:pPr>
      <w:r w:rsidRPr="00A32DD3">
        <w:rPr>
          <w:rFonts w:ascii="Century Schoolbook" w:hAnsi="Century Schoolbook"/>
          <w:iCs/>
        </w:rPr>
        <w:t xml:space="preserve">  The above is summarized in the following table, which was included in the Walker Affidavit</w:t>
      </w:r>
      <w:r w:rsidR="001F1227">
        <w:rPr>
          <w:rFonts w:ascii="Century Schoolbook" w:hAnsi="Century Schoolbook"/>
          <w:iCs/>
        </w:rPr>
        <w:t xml:space="preserve"> (</w:t>
      </w:r>
      <w:proofErr w:type="spellStart"/>
      <w:r w:rsidR="001F1227" w:rsidRPr="00A32DD3">
        <w:rPr>
          <w:rFonts w:ascii="Century Schoolbook" w:hAnsi="Century Schoolbook"/>
        </w:rPr>
        <w:t>ECF</w:t>
      </w:r>
      <w:proofErr w:type="spellEnd"/>
      <w:r w:rsidR="001F1227" w:rsidRPr="00A32DD3">
        <w:rPr>
          <w:rFonts w:ascii="Century Schoolbook" w:hAnsi="Century Schoolbook"/>
        </w:rPr>
        <w:t xml:space="preserve"> No. 12.3</w:t>
      </w:r>
      <w:r w:rsidR="001F1227">
        <w:rPr>
          <w:rFonts w:ascii="Century Schoolbook" w:hAnsi="Century Schoolbook"/>
        </w:rPr>
        <w:t>)</w:t>
      </w:r>
      <w:r w:rsidRPr="00A32DD3">
        <w:rPr>
          <w:rFonts w:ascii="Century Schoolbook" w:hAnsi="Century Schoolbook"/>
          <w:iCs/>
        </w:rPr>
        <w:t xml:space="preserve">: </w:t>
      </w:r>
    </w:p>
    <w:p w14:paraId="1D759042" w14:textId="77777777" w:rsidR="006C37DA" w:rsidRPr="00A32DD3" w:rsidRDefault="006C37DA" w:rsidP="001F1227">
      <w:pPr>
        <w:pStyle w:val="ListParagraph"/>
        <w:spacing w:line="480" w:lineRule="auto"/>
        <w:ind w:left="0"/>
        <w:rPr>
          <w:rFonts w:ascii="Century Schoolbook" w:hAnsi="Century Schoolbook"/>
          <w:iCs/>
        </w:rPr>
      </w:pPr>
      <w:r w:rsidRPr="00A32DD3">
        <w:rPr>
          <w:rFonts w:ascii="Century Schoolbook" w:hAnsi="Century Schoolbook"/>
          <w:noProof/>
        </w:rPr>
        <w:drawing>
          <wp:inline distT="0" distB="0" distL="0" distR="0" wp14:anchorId="422BE38E" wp14:editId="28C5A58A">
            <wp:extent cx="6267450" cy="1739265"/>
            <wp:effectExtent l="19050" t="19050" r="1905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1739265"/>
                    </a:xfrm>
                    <a:prstGeom prst="rect">
                      <a:avLst/>
                    </a:prstGeom>
                    <a:noFill/>
                    <a:ln>
                      <a:solidFill>
                        <a:schemeClr val="accent1"/>
                      </a:solidFill>
                    </a:ln>
                  </pic:spPr>
                </pic:pic>
              </a:graphicData>
            </a:graphic>
          </wp:inline>
        </w:drawing>
      </w:r>
    </w:p>
    <w:p w14:paraId="09236755" w14:textId="06F3C237" w:rsidR="003728CB" w:rsidRPr="00A32DD3" w:rsidRDefault="0031113B" w:rsidP="001F1227">
      <w:pPr>
        <w:pStyle w:val="APPNumListwSpace"/>
        <w:numPr>
          <w:ilvl w:val="0"/>
          <w:numId w:val="6"/>
        </w:numPr>
        <w:spacing w:after="0" w:line="480" w:lineRule="auto"/>
        <w:ind w:left="0" w:firstLine="720"/>
        <w:jc w:val="both"/>
        <w:rPr>
          <w:rFonts w:ascii="Century Schoolbook" w:hAnsi="Century Schoolbook"/>
        </w:rPr>
      </w:pPr>
      <w:r w:rsidRPr="00A32DD3">
        <w:rPr>
          <w:rFonts w:ascii="Century Schoolbook" w:hAnsi="Century Schoolbook"/>
        </w:rPr>
        <w:t xml:space="preserve">In some cases, the Plan requires recurring </w:t>
      </w:r>
      <w:r w:rsidR="00351588" w:rsidRPr="00A32DD3">
        <w:rPr>
          <w:rFonts w:ascii="Century Schoolbook" w:hAnsi="Century Schoolbook"/>
        </w:rPr>
        <w:t xml:space="preserve">(R) </w:t>
      </w:r>
      <w:r w:rsidRPr="00A32DD3">
        <w:rPr>
          <w:rFonts w:ascii="Century Schoolbook" w:hAnsi="Century Schoolbook"/>
        </w:rPr>
        <w:t xml:space="preserve">funds to be appropriated, but the Budget appropriated </w:t>
      </w:r>
      <w:r w:rsidRPr="001F1227">
        <w:rPr>
          <w:rFonts w:ascii="Century Schoolbook" w:hAnsi="Century Schoolbook"/>
        </w:rPr>
        <w:t>non</w:t>
      </w:r>
      <w:r w:rsidRPr="00A32DD3">
        <w:rPr>
          <w:rFonts w:ascii="Century Schoolbook" w:hAnsi="Century Schoolbook"/>
        </w:rPr>
        <w:t>recurring funds</w:t>
      </w:r>
      <w:r w:rsidR="00351588" w:rsidRPr="00A32DD3">
        <w:rPr>
          <w:rFonts w:ascii="Century Schoolbook" w:hAnsi="Century Schoolbook"/>
        </w:rPr>
        <w:t xml:space="preserve"> (NR)</w:t>
      </w:r>
      <w:r w:rsidRPr="00A32DD3">
        <w:rPr>
          <w:rFonts w:ascii="Century Schoolbook" w:hAnsi="Century Schoolbook"/>
        </w:rPr>
        <w:t xml:space="preserve">.  Though those amounts are </w:t>
      </w:r>
      <w:r w:rsidRPr="00A32DD3">
        <w:rPr>
          <w:rFonts w:ascii="Century Schoolbook" w:hAnsi="Century Schoolbook"/>
        </w:rPr>
        <w:lastRenderedPageBreak/>
        <w:t xml:space="preserve">funded for </w:t>
      </w:r>
      <w:r w:rsidR="00351588" w:rsidRPr="00A32DD3">
        <w:rPr>
          <w:rFonts w:ascii="Century Schoolbook" w:hAnsi="Century Schoolbook"/>
        </w:rPr>
        <w:t xml:space="preserve">Years </w:t>
      </w:r>
      <w:r w:rsidRPr="00A32DD3">
        <w:rPr>
          <w:rFonts w:ascii="Century Schoolbook" w:hAnsi="Century Schoolbook"/>
        </w:rPr>
        <w:t>2 &amp; 3, a higher amount of recurring funds will be needed for the remaining years in order to be compliant with this Court’s Order.</w:t>
      </w:r>
      <w:r w:rsidR="001F1227">
        <w:rPr>
          <w:rFonts w:ascii="Century Schoolbook" w:hAnsi="Century Schoolbook"/>
        </w:rPr>
        <w:t xml:space="preserve"> </w:t>
      </w:r>
      <w:r w:rsidR="00351588" w:rsidRPr="00A32DD3">
        <w:rPr>
          <w:rFonts w:ascii="Century Schoolbook" w:hAnsi="Century Schoolbook"/>
        </w:rPr>
        <w:t xml:space="preserve"> </w:t>
      </w:r>
      <w:r w:rsidR="00351588" w:rsidRPr="00A32DD3">
        <w:rPr>
          <w:rFonts w:ascii="Century Schoolbook" w:hAnsi="Century Schoolbook"/>
          <w:i/>
          <w:iCs/>
        </w:rPr>
        <w:t>Id.</w:t>
      </w:r>
    </w:p>
    <w:p w14:paraId="2DE9E0F4" w14:textId="1E5C3D1D" w:rsidR="007E7349" w:rsidRPr="00A32DD3" w:rsidRDefault="007E7349" w:rsidP="00A32DD3">
      <w:pPr>
        <w:spacing w:line="480" w:lineRule="auto"/>
        <w:jc w:val="center"/>
        <w:rPr>
          <w:rFonts w:ascii="Century Schoolbook" w:hAnsi="Century Schoolbook"/>
          <w:b/>
          <w:u w:val="single"/>
        </w:rPr>
      </w:pPr>
      <w:r w:rsidRPr="00A32DD3">
        <w:rPr>
          <w:rFonts w:ascii="Century Schoolbook" w:hAnsi="Century Schoolbook"/>
          <w:b/>
          <w:u w:val="single"/>
        </w:rPr>
        <w:t>CONCLUSION</w:t>
      </w:r>
      <w:r w:rsidR="007D3624" w:rsidRPr="00A32DD3">
        <w:rPr>
          <w:rFonts w:ascii="Century Schoolbook" w:hAnsi="Century Schoolbook"/>
          <w:b/>
          <w:u w:val="single"/>
        </w:rPr>
        <w:t>S OF LAW</w:t>
      </w:r>
    </w:p>
    <w:p w14:paraId="14D97F8B" w14:textId="2A9202CC" w:rsidR="00B663B6" w:rsidRPr="00A32DD3" w:rsidRDefault="00CB5545" w:rsidP="00E6373C">
      <w:pPr>
        <w:pStyle w:val="APPNumListwSpace"/>
        <w:numPr>
          <w:ilvl w:val="0"/>
          <w:numId w:val="6"/>
        </w:numPr>
        <w:spacing w:after="0" w:line="480" w:lineRule="auto"/>
        <w:ind w:left="0" w:firstLine="720"/>
        <w:jc w:val="both"/>
        <w:rPr>
          <w:rFonts w:ascii="Century Schoolbook" w:hAnsi="Century Schoolbook"/>
        </w:rPr>
      </w:pPr>
      <w:r w:rsidRPr="00A32DD3">
        <w:rPr>
          <w:rFonts w:ascii="Century Schoolbook" w:hAnsi="Century Schoolbook"/>
        </w:rPr>
        <w:t xml:space="preserve">The 2021 Appropriations Act fails </w:t>
      </w:r>
      <w:r w:rsidR="00072B7A" w:rsidRPr="00A32DD3">
        <w:rPr>
          <w:rFonts w:ascii="Century Schoolbook" w:hAnsi="Century Schoolbook"/>
        </w:rPr>
        <w:t>to</w:t>
      </w:r>
      <w:r w:rsidRPr="00A32DD3">
        <w:rPr>
          <w:rFonts w:ascii="Century Schoolbook" w:hAnsi="Century Schoolbook"/>
        </w:rPr>
        <w:t xml:space="preserve"> fund </w:t>
      </w:r>
      <w:r w:rsidR="00351588" w:rsidRPr="00A32DD3">
        <w:rPr>
          <w:rFonts w:ascii="Century Schoolbook" w:hAnsi="Century Schoolbook"/>
        </w:rPr>
        <w:t xml:space="preserve">Years </w:t>
      </w:r>
      <w:r w:rsidRPr="00A32DD3">
        <w:rPr>
          <w:rFonts w:ascii="Century Schoolbook" w:hAnsi="Century Schoolbook"/>
        </w:rPr>
        <w:t xml:space="preserve">2 &amp; 3 of the Plan in full. </w:t>
      </w:r>
      <w:r w:rsidR="007D3624" w:rsidRPr="00A32DD3">
        <w:rPr>
          <w:rFonts w:ascii="Century Schoolbook" w:hAnsi="Century Schoolbook"/>
        </w:rPr>
        <w:t xml:space="preserve"> </w:t>
      </w:r>
    </w:p>
    <w:p w14:paraId="699E7F8C" w14:textId="199C434B" w:rsidR="003728CB" w:rsidRPr="00A32DD3" w:rsidRDefault="00B30FD8" w:rsidP="00E6373C">
      <w:pPr>
        <w:pStyle w:val="APPNumListwSpace"/>
        <w:numPr>
          <w:ilvl w:val="0"/>
          <w:numId w:val="6"/>
        </w:numPr>
        <w:spacing w:after="0" w:line="480" w:lineRule="auto"/>
        <w:ind w:left="0" w:firstLine="720"/>
        <w:jc w:val="both"/>
        <w:rPr>
          <w:rFonts w:ascii="Century Schoolbook" w:hAnsi="Century Schoolbook"/>
        </w:rPr>
      </w:pPr>
      <w:r w:rsidRPr="00A32DD3">
        <w:rPr>
          <w:rFonts w:ascii="Century Schoolbook" w:hAnsi="Century Schoolbook"/>
        </w:rPr>
        <w:t xml:space="preserve">Based on the State’s accounting, which Plaintiffs do not dispute, the 2021 Appropriations Act impacts the remedy set forth in Paragraph 1(a) – (c) (p. 19) of the 10 </w:t>
      </w:r>
      <w:r w:rsidR="00C577FC" w:rsidRPr="00A32DD3">
        <w:rPr>
          <w:rFonts w:ascii="Century Schoolbook" w:hAnsi="Century Schoolbook"/>
        </w:rPr>
        <w:t xml:space="preserve">November </w:t>
      </w:r>
      <w:r w:rsidR="00F315EE">
        <w:rPr>
          <w:rFonts w:ascii="Century Schoolbook" w:hAnsi="Century Schoolbook"/>
        </w:rPr>
        <w:t xml:space="preserve">2021 </w:t>
      </w:r>
      <w:r w:rsidRPr="00A32DD3">
        <w:rPr>
          <w:rFonts w:ascii="Century Schoolbook" w:hAnsi="Century Schoolbook"/>
        </w:rPr>
        <w:t>Order as follows:</w:t>
      </w:r>
    </w:p>
    <w:p w14:paraId="2843F051" w14:textId="3B5504A2" w:rsidR="003728CB" w:rsidRPr="00A32DD3" w:rsidRDefault="00B663B6" w:rsidP="00E6373C">
      <w:pPr>
        <w:pStyle w:val="APPNumListwSpace"/>
        <w:numPr>
          <w:ilvl w:val="0"/>
          <w:numId w:val="0"/>
        </w:numPr>
        <w:spacing w:after="0" w:line="480" w:lineRule="auto"/>
        <w:ind w:left="720"/>
        <w:jc w:val="both"/>
        <w:rPr>
          <w:rFonts w:ascii="Century Schoolbook" w:hAnsi="Century Schoolbook"/>
        </w:rPr>
      </w:pPr>
      <w:r w:rsidRPr="00A32DD3">
        <w:rPr>
          <w:rFonts w:ascii="Century Schoolbook" w:hAnsi="Century Schoolbook"/>
        </w:rPr>
        <w:t xml:space="preserve">(a) </w:t>
      </w:r>
      <w:r w:rsidR="00B30FD8" w:rsidRPr="00A32DD3">
        <w:rPr>
          <w:rFonts w:ascii="Century Schoolbook" w:hAnsi="Century Schoolbook"/>
        </w:rPr>
        <w:t>Department of Health and Human Services (“DHHS”): $168,441,761.</w:t>
      </w:r>
      <w:r w:rsidR="00B30FD8" w:rsidRPr="001F1227">
        <w:rPr>
          <w:rFonts w:ascii="Century Schoolbook" w:hAnsi="Century Schoolbook"/>
          <w:vertAlign w:val="superscript"/>
        </w:rPr>
        <w:t>00</w:t>
      </w:r>
      <w:r w:rsidR="00B30FD8" w:rsidRPr="00A32DD3">
        <w:rPr>
          <w:rFonts w:ascii="Century Schoolbook" w:hAnsi="Century Schoolbook"/>
        </w:rPr>
        <w:t>;</w:t>
      </w:r>
    </w:p>
    <w:p w14:paraId="6172773E" w14:textId="1C59C7DC" w:rsidR="00B30FD8" w:rsidRPr="00A32DD3" w:rsidRDefault="00B663B6" w:rsidP="00E6373C">
      <w:pPr>
        <w:pStyle w:val="APPNumListwSpace"/>
        <w:numPr>
          <w:ilvl w:val="0"/>
          <w:numId w:val="0"/>
        </w:numPr>
        <w:spacing w:after="0" w:line="480" w:lineRule="auto"/>
        <w:ind w:left="720"/>
        <w:jc w:val="both"/>
        <w:rPr>
          <w:rFonts w:ascii="Century Schoolbook" w:hAnsi="Century Schoolbook"/>
        </w:rPr>
      </w:pPr>
      <w:r w:rsidRPr="00A32DD3">
        <w:rPr>
          <w:rFonts w:ascii="Century Schoolbook" w:hAnsi="Century Schoolbook"/>
        </w:rPr>
        <w:t xml:space="preserve">(b) </w:t>
      </w:r>
      <w:r w:rsidR="00B30FD8" w:rsidRPr="00A32DD3">
        <w:rPr>
          <w:rFonts w:ascii="Century Schoolbook" w:hAnsi="Century Schoolbook"/>
        </w:rPr>
        <w:t>Department of Public Instruction (“DPI”): $593,628,196.</w:t>
      </w:r>
      <w:r w:rsidR="00B30FD8" w:rsidRPr="001F1227">
        <w:rPr>
          <w:rFonts w:ascii="Century Schoolbook" w:hAnsi="Century Schoolbook"/>
          <w:vertAlign w:val="superscript"/>
        </w:rPr>
        <w:t>00</w:t>
      </w:r>
      <w:r w:rsidR="00B30FD8" w:rsidRPr="00A32DD3">
        <w:rPr>
          <w:rFonts w:ascii="Century Schoolbook" w:hAnsi="Century Schoolbook"/>
        </w:rPr>
        <w:t>; and.</w:t>
      </w:r>
    </w:p>
    <w:p w14:paraId="67910BB5" w14:textId="77777777" w:rsidR="00B663B6" w:rsidRPr="00A32DD3" w:rsidRDefault="00B663B6" w:rsidP="00E6373C">
      <w:pPr>
        <w:pStyle w:val="APPNumListwSpace"/>
        <w:numPr>
          <w:ilvl w:val="0"/>
          <w:numId w:val="0"/>
        </w:numPr>
        <w:spacing w:after="0" w:line="480" w:lineRule="auto"/>
        <w:ind w:left="720"/>
        <w:jc w:val="both"/>
        <w:rPr>
          <w:rFonts w:ascii="Century Schoolbook" w:hAnsi="Century Schoolbook"/>
        </w:rPr>
      </w:pPr>
      <w:r w:rsidRPr="00A32DD3">
        <w:rPr>
          <w:rFonts w:ascii="Century Schoolbook" w:hAnsi="Century Schoolbook"/>
        </w:rPr>
        <w:t xml:space="preserve">(c) </w:t>
      </w:r>
      <w:r w:rsidR="00B30FD8" w:rsidRPr="00A32DD3">
        <w:rPr>
          <w:rFonts w:ascii="Century Schoolbook" w:hAnsi="Century Schoolbook"/>
        </w:rPr>
        <w:t>University of North Carolina System: $32,758,000.</w:t>
      </w:r>
      <w:r w:rsidR="00B30FD8" w:rsidRPr="001F1227">
        <w:rPr>
          <w:rFonts w:ascii="Century Schoolbook" w:hAnsi="Century Schoolbook"/>
          <w:vertAlign w:val="superscript"/>
        </w:rPr>
        <w:t>00</w:t>
      </w:r>
      <w:r w:rsidR="00B30FD8" w:rsidRPr="00A32DD3">
        <w:rPr>
          <w:rFonts w:ascii="Century Schoolbook" w:hAnsi="Century Schoolbook"/>
        </w:rPr>
        <w:t>.</w:t>
      </w:r>
    </w:p>
    <w:p w14:paraId="0F097F3F" w14:textId="27EEB55C" w:rsidR="00334C2C" w:rsidRPr="001F1227" w:rsidRDefault="00B30FD8" w:rsidP="001B7CED">
      <w:pPr>
        <w:pStyle w:val="APPNumListwSpace"/>
        <w:numPr>
          <w:ilvl w:val="0"/>
          <w:numId w:val="6"/>
        </w:numPr>
        <w:spacing w:after="0" w:line="480" w:lineRule="auto"/>
        <w:ind w:left="0" w:firstLine="720"/>
        <w:jc w:val="both"/>
        <w:rPr>
          <w:rFonts w:ascii="Century Schoolbook" w:hAnsi="Century Schoolbook"/>
        </w:rPr>
      </w:pPr>
      <w:r w:rsidRPr="001F1227">
        <w:rPr>
          <w:rFonts w:ascii="Century Schoolbook" w:hAnsi="Century Schoolbook"/>
        </w:rPr>
        <w:t xml:space="preserve">The remainder of the 10 November 2021 Order </w:t>
      </w:r>
      <w:r w:rsidR="00E6790D" w:rsidRPr="001F1227">
        <w:rPr>
          <w:rFonts w:ascii="Century Schoolbook" w:hAnsi="Century Schoolbook"/>
        </w:rPr>
        <w:t xml:space="preserve">is not impacted by the Appropriations Act.  All other issues related to or arising out of the 10 November </w:t>
      </w:r>
      <w:r w:rsidR="001F1227" w:rsidRPr="001F1227">
        <w:rPr>
          <w:rFonts w:ascii="Century Schoolbook" w:hAnsi="Century Schoolbook"/>
        </w:rPr>
        <w:t xml:space="preserve">2021 </w:t>
      </w:r>
      <w:r w:rsidR="00E6790D" w:rsidRPr="001F1227">
        <w:rPr>
          <w:rFonts w:ascii="Century Schoolbook" w:hAnsi="Century Schoolbook"/>
        </w:rPr>
        <w:t>Order are pending</w:t>
      </w:r>
      <w:r w:rsidR="00E6790D" w:rsidRPr="001F1227">
        <w:rPr>
          <w:rFonts w:ascii="Century Schoolbook" w:hAnsi="Century Schoolbook"/>
          <w:bCs/>
        </w:rPr>
        <w:t xml:space="preserve"> before the North Carolina Supreme Court.  </w:t>
      </w:r>
    </w:p>
    <w:sectPr w:rsidR="00334C2C" w:rsidRPr="001F1227" w:rsidSect="00B9311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BC677" w14:textId="77777777" w:rsidR="00D14295" w:rsidRDefault="00D14295">
      <w:r>
        <w:separator/>
      </w:r>
    </w:p>
  </w:endnote>
  <w:endnote w:type="continuationSeparator" w:id="0">
    <w:p w14:paraId="12E34F06" w14:textId="77777777" w:rsidR="00D14295" w:rsidRDefault="00D1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A15E" w14:textId="77777777" w:rsidR="001F1227" w:rsidRDefault="001F1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711034"/>
      <w:docPartObj>
        <w:docPartGallery w:val="Page Numbers (Bottom of Page)"/>
        <w:docPartUnique/>
      </w:docPartObj>
    </w:sdtPr>
    <w:sdtEndPr>
      <w:rPr>
        <w:noProof/>
      </w:rPr>
    </w:sdtEndPr>
    <w:sdtContent>
      <w:p w14:paraId="4677D187" w14:textId="196DF70D" w:rsidR="00235B1E" w:rsidRDefault="00235B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667DCE" w14:textId="77777777" w:rsidR="005B153C" w:rsidRDefault="005B1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AC93" w14:textId="77777777" w:rsidR="001F1227" w:rsidRDefault="001F1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A8499" w14:textId="77777777" w:rsidR="00D14295" w:rsidRDefault="00D14295">
      <w:r>
        <w:separator/>
      </w:r>
    </w:p>
  </w:footnote>
  <w:footnote w:type="continuationSeparator" w:id="0">
    <w:p w14:paraId="36CC567E" w14:textId="77777777" w:rsidR="00D14295" w:rsidRDefault="00D14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EBFE" w14:textId="77777777" w:rsidR="001F1227" w:rsidRDefault="001F1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8F13" w14:textId="77777777" w:rsidR="001F1227" w:rsidRDefault="001F1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33C2" w14:textId="77777777" w:rsidR="001F1227" w:rsidRDefault="001F1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8F1"/>
    <w:multiLevelType w:val="hybridMultilevel"/>
    <w:tmpl w:val="ED6CCB24"/>
    <w:lvl w:ilvl="0" w:tplc="A83E032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05160"/>
    <w:multiLevelType w:val="multilevel"/>
    <w:tmpl w:val="3DAA0992"/>
    <w:name w:val="General Numbering (1a)"/>
    <w:lvl w:ilvl="0">
      <w:start w:val="1"/>
      <w:numFmt w:val="decimal"/>
      <w:lvlText w:val="____   (%1)  "/>
      <w:lvlJc w:val="left"/>
      <w:pPr>
        <w:tabs>
          <w:tab w:val="num" w:pos="1440"/>
        </w:tabs>
        <w:ind w:left="1440" w:hanging="720"/>
      </w:pPr>
      <w:rPr>
        <w:rFonts w:hint="default"/>
        <w:caps w:val="0"/>
        <w:color w:val="010000"/>
        <w:u w:val="none"/>
      </w:rPr>
    </w:lvl>
    <w:lvl w:ilvl="1">
      <w:start w:val="1"/>
      <w:numFmt w:val="lowerLetter"/>
      <w:lvlText w:val="(%2)"/>
      <w:lvlJc w:val="left"/>
      <w:pPr>
        <w:tabs>
          <w:tab w:val="num" w:pos="2160"/>
        </w:tabs>
        <w:ind w:left="2160" w:hanging="720"/>
      </w:pPr>
      <w:rPr>
        <w:rFonts w:hint="default"/>
        <w:caps w:val="0"/>
        <w:color w:val="010000"/>
        <w:u w:val="none"/>
      </w:rPr>
    </w:lvl>
    <w:lvl w:ilvl="2">
      <w:start w:val="1"/>
      <w:numFmt w:val="lowerRoman"/>
      <w:lvlText w:val="(%3)"/>
      <w:lvlJc w:val="left"/>
      <w:pPr>
        <w:tabs>
          <w:tab w:val="num" w:pos="2880"/>
        </w:tabs>
        <w:ind w:left="2880" w:hanging="720"/>
      </w:pPr>
      <w:rPr>
        <w:rFonts w:hint="default"/>
        <w:caps w:val="0"/>
        <w:color w:val="010000"/>
        <w:u w:val="none"/>
      </w:rPr>
    </w:lvl>
    <w:lvl w:ilvl="3">
      <w:start w:val="1"/>
      <w:numFmt w:val="decimal"/>
      <w:lvlText w:val="(%4)"/>
      <w:lvlJc w:val="left"/>
      <w:pPr>
        <w:tabs>
          <w:tab w:val="num" w:pos="3600"/>
        </w:tabs>
        <w:ind w:left="3600" w:hanging="720"/>
      </w:pPr>
      <w:rPr>
        <w:rFonts w:hint="default"/>
        <w:caps w:val="0"/>
        <w:color w:val="010000"/>
        <w:u w:val="none"/>
      </w:rPr>
    </w:lvl>
    <w:lvl w:ilvl="4">
      <w:start w:val="1"/>
      <w:numFmt w:val="lowerLetter"/>
      <w:lvlText w:val="%5."/>
      <w:lvlJc w:val="left"/>
      <w:pPr>
        <w:tabs>
          <w:tab w:val="num" w:pos="4320"/>
        </w:tabs>
        <w:ind w:left="4320" w:hanging="720"/>
      </w:pPr>
      <w:rPr>
        <w:rFonts w:hint="default"/>
        <w:caps w:val="0"/>
        <w:color w:val="010000"/>
        <w:u w:val="none"/>
      </w:rPr>
    </w:lvl>
    <w:lvl w:ilvl="5">
      <w:start w:val="1"/>
      <w:numFmt w:val="lowerRoman"/>
      <w:lvlText w:val="%6."/>
      <w:lvlJc w:val="left"/>
      <w:pPr>
        <w:tabs>
          <w:tab w:val="num" w:pos="5040"/>
        </w:tabs>
        <w:ind w:left="5040" w:hanging="720"/>
      </w:pPr>
      <w:rPr>
        <w:rFonts w:hint="default"/>
        <w:caps w:val="0"/>
        <w:color w:val="010000"/>
        <w:u w:val="none"/>
      </w:rPr>
    </w:lvl>
    <w:lvl w:ilvl="6">
      <w:start w:val="1"/>
      <w:numFmt w:val="decimal"/>
      <w:lvlText w:val="%7)"/>
      <w:lvlJc w:val="left"/>
      <w:pPr>
        <w:tabs>
          <w:tab w:val="num" w:pos="5760"/>
        </w:tabs>
        <w:ind w:left="5760" w:hanging="720"/>
      </w:pPr>
      <w:rPr>
        <w:rFonts w:hint="default"/>
        <w:caps w:val="0"/>
        <w:color w:val="010000"/>
        <w:u w:val="none"/>
      </w:rPr>
    </w:lvl>
    <w:lvl w:ilvl="7">
      <w:start w:val="1"/>
      <w:numFmt w:val="lowerLetter"/>
      <w:lvlText w:val="%8)"/>
      <w:lvlJc w:val="left"/>
      <w:pPr>
        <w:tabs>
          <w:tab w:val="num" w:pos="6480"/>
        </w:tabs>
        <w:ind w:left="6480" w:hanging="720"/>
      </w:pPr>
      <w:rPr>
        <w:rFonts w:hint="default"/>
        <w:caps w:val="0"/>
        <w:color w:val="010000"/>
        <w:u w:val="none"/>
      </w:rPr>
    </w:lvl>
    <w:lvl w:ilvl="8">
      <w:start w:val="1"/>
      <w:numFmt w:val="lowerRoman"/>
      <w:lvlText w:val="%9)"/>
      <w:lvlJc w:val="left"/>
      <w:pPr>
        <w:tabs>
          <w:tab w:val="num" w:pos="7200"/>
        </w:tabs>
        <w:ind w:left="7200" w:hanging="720"/>
      </w:pPr>
      <w:rPr>
        <w:rFonts w:hint="default"/>
        <w:caps w:val="0"/>
        <w:color w:val="010000"/>
        <w:u w:val="none"/>
      </w:rPr>
    </w:lvl>
  </w:abstractNum>
  <w:abstractNum w:abstractNumId="2" w15:restartNumberingAfterBreak="0">
    <w:nsid w:val="066C102F"/>
    <w:multiLevelType w:val="multilevel"/>
    <w:tmpl w:val="2840624C"/>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b/>
        <w:i w:val="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8623F9A"/>
    <w:multiLevelType w:val="multilevel"/>
    <w:tmpl w:val="3B34C09C"/>
    <w:name w:val="NumLists"/>
    <w:styleLink w:val="NumLists"/>
    <w:lvl w:ilvl="0">
      <w:start w:val="1"/>
      <w:numFmt w:val="decimal"/>
      <w:pStyle w:val="APPNu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4" w15:restartNumberingAfterBreak="0">
    <w:nsid w:val="144C6CB2"/>
    <w:multiLevelType w:val="multilevel"/>
    <w:tmpl w:val="DD28E4BE"/>
    <w:lvl w:ilvl="0">
      <w:start w:val="1"/>
      <w:numFmt w:val="decimal"/>
      <w:pStyle w:val="APPNumListwSpace"/>
      <w:lvlText w:val="%1."/>
      <w:lvlJc w:val="left"/>
      <w:pPr>
        <w:ind w:left="720" w:hanging="720"/>
      </w:pPr>
      <w:rPr>
        <w:rFonts w:hint="default"/>
      </w:rPr>
    </w:lvl>
    <w:lvl w:ilvl="1">
      <w:start w:val="1"/>
      <w:numFmt w:val="lowerLetter"/>
      <w:lvlText w:val="%2."/>
      <w:lvlJc w:val="left"/>
      <w:pPr>
        <w:ind w:left="180" w:hanging="720"/>
      </w:pPr>
      <w:rPr>
        <w:rFonts w:hint="default"/>
      </w:rPr>
    </w:lvl>
    <w:lvl w:ilvl="2">
      <w:start w:val="1"/>
      <w:numFmt w:val="lowerRoman"/>
      <w:lvlText w:val="%3."/>
      <w:lvlJc w:val="left"/>
      <w:pPr>
        <w:ind w:left="900" w:hanging="720"/>
      </w:pPr>
      <w:rPr>
        <w:rFonts w:hint="default"/>
      </w:rPr>
    </w:lvl>
    <w:lvl w:ilvl="3">
      <w:start w:val="1"/>
      <w:numFmt w:val="decimal"/>
      <w:lvlText w:val="%4."/>
      <w:lvlJc w:val="left"/>
      <w:pPr>
        <w:ind w:left="1620" w:hanging="720"/>
      </w:pPr>
      <w:rPr>
        <w:rFonts w:hint="default"/>
      </w:rPr>
    </w:lvl>
    <w:lvl w:ilvl="4">
      <w:start w:val="1"/>
      <w:numFmt w:val="lowerLetter"/>
      <w:lvlText w:val="%5."/>
      <w:lvlJc w:val="left"/>
      <w:pPr>
        <w:ind w:left="2340" w:hanging="720"/>
      </w:pPr>
      <w:rPr>
        <w:rFonts w:hint="default"/>
      </w:rPr>
    </w:lvl>
    <w:lvl w:ilvl="5">
      <w:start w:val="1"/>
      <w:numFmt w:val="lowerRoman"/>
      <w:lvlText w:val="(%6)"/>
      <w:lvlJc w:val="left"/>
      <w:pPr>
        <w:ind w:left="3060" w:hanging="720"/>
      </w:pPr>
      <w:rPr>
        <w:rFonts w:hint="default"/>
      </w:rPr>
    </w:lvl>
    <w:lvl w:ilvl="6">
      <w:start w:val="1"/>
      <w:numFmt w:val="decimal"/>
      <w:lvlText w:val="%7."/>
      <w:lvlJc w:val="left"/>
      <w:pPr>
        <w:ind w:left="3780" w:hanging="720"/>
      </w:pPr>
      <w:rPr>
        <w:rFonts w:hint="default"/>
      </w:rPr>
    </w:lvl>
    <w:lvl w:ilvl="7">
      <w:start w:val="1"/>
      <w:numFmt w:val="lowerLetter"/>
      <w:lvlText w:val="%8."/>
      <w:lvlJc w:val="left"/>
      <w:pPr>
        <w:ind w:left="4500" w:hanging="720"/>
      </w:pPr>
      <w:rPr>
        <w:rFonts w:hint="default"/>
      </w:rPr>
    </w:lvl>
    <w:lvl w:ilvl="8">
      <w:start w:val="1"/>
      <w:numFmt w:val="lowerRoman"/>
      <w:lvlText w:val="%9."/>
      <w:lvlJc w:val="left"/>
      <w:pPr>
        <w:ind w:left="5220" w:hanging="720"/>
      </w:pPr>
      <w:rPr>
        <w:rFonts w:hint="default"/>
      </w:rPr>
    </w:lvl>
  </w:abstractNum>
  <w:abstractNum w:abstractNumId="5" w15:restartNumberingAfterBreak="0">
    <w:nsid w:val="4C884BBF"/>
    <w:multiLevelType w:val="multilevel"/>
    <w:tmpl w:val="CB4A4FEA"/>
    <w:styleLink w:val="APPNumListwSpace0"/>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6" w15:restartNumberingAfterBreak="0">
    <w:nsid w:val="584A53D5"/>
    <w:multiLevelType w:val="multilevel"/>
    <w:tmpl w:val="FB7A20A8"/>
    <w:name w:val="ListBullets3"/>
    <w:numStyleLink w:val="ListBullets"/>
  </w:abstractNum>
  <w:abstractNum w:abstractNumId="7" w15:restartNumberingAfterBreak="0">
    <w:nsid w:val="611361BB"/>
    <w:multiLevelType w:val="multilevel"/>
    <w:tmpl w:val="FB7A20A8"/>
    <w:name w:val="ListBullets2"/>
    <w:numStyleLink w:val="ListBullets"/>
  </w:abstractNum>
  <w:abstractNum w:abstractNumId="8" w15:restartNumberingAfterBreak="0">
    <w:nsid w:val="61193EF4"/>
    <w:multiLevelType w:val="multilevel"/>
    <w:tmpl w:val="3B34C09C"/>
    <w:name w:val="NumLists2"/>
    <w:numStyleLink w:val="NumLists"/>
  </w:abstractNum>
  <w:abstractNum w:abstractNumId="9" w15:restartNumberingAfterBreak="0">
    <w:nsid w:val="790161B9"/>
    <w:multiLevelType w:val="multilevel"/>
    <w:tmpl w:val="FB7A20A8"/>
    <w:name w:val="ListBullets"/>
    <w:styleLink w:val="ListBullets"/>
    <w:lvl w:ilvl="0">
      <w:start w:val="1"/>
      <w:numFmt w:val="bullet"/>
      <w:pStyle w:val="APPBulletTx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hint="default"/>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hint="default"/>
      </w:rPr>
    </w:lvl>
    <w:lvl w:ilvl="5">
      <w:start w:val="1"/>
      <w:numFmt w:val="bullet"/>
      <w:lvlText w:val=""/>
      <w:lvlJc w:val="left"/>
      <w:pPr>
        <w:tabs>
          <w:tab w:val="num" w:pos="4320"/>
        </w:tabs>
        <w:ind w:left="4320" w:hanging="720"/>
      </w:pPr>
      <w:rPr>
        <w:rFonts w:ascii="Wingdings" w:hAnsi="Wingding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o"/>
      <w:lvlJc w:val="left"/>
      <w:pPr>
        <w:tabs>
          <w:tab w:val="num" w:pos="5760"/>
        </w:tabs>
        <w:ind w:left="5760" w:hanging="720"/>
      </w:pPr>
      <w:rPr>
        <w:rFonts w:ascii="Courier New" w:hAnsi="Courier New" w:cs="Courier New" w:hint="default"/>
      </w:rPr>
    </w:lvl>
    <w:lvl w:ilvl="8">
      <w:start w:val="1"/>
      <w:numFmt w:val="bullet"/>
      <w:lvlText w:val=""/>
      <w:lvlJc w:val="left"/>
      <w:pPr>
        <w:tabs>
          <w:tab w:val="num" w:pos="6480"/>
        </w:tabs>
        <w:ind w:left="6480" w:hanging="720"/>
      </w:pPr>
      <w:rPr>
        <w:rFonts w:ascii="Wingdings" w:hAnsi="Wingdings" w:hint="default"/>
      </w:rPr>
    </w:lvl>
  </w:abstractNum>
  <w:num w:numId="1">
    <w:abstractNumId w:val="9"/>
  </w:num>
  <w:num w:numId="2">
    <w:abstractNumId w:val="3"/>
  </w:num>
  <w:num w:numId="3">
    <w:abstractNumId w:val="5"/>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Library" w:val="True"/>
    <w:docVar w:name="DocIDRemoved" w:val="True"/>
    <w:docVar w:name="DocIDType" w:val="AllPages"/>
    <w:docVar w:name="LegacyDocIDRemoved" w:val="True"/>
  </w:docVars>
  <w:rsids>
    <w:rsidRoot w:val="00ED2CB6"/>
    <w:rsid w:val="00001D14"/>
    <w:rsid w:val="000033A7"/>
    <w:rsid w:val="0001072A"/>
    <w:rsid w:val="00013204"/>
    <w:rsid w:val="0001330F"/>
    <w:rsid w:val="00015FFE"/>
    <w:rsid w:val="000213D5"/>
    <w:rsid w:val="00024AA8"/>
    <w:rsid w:val="00024D32"/>
    <w:rsid w:val="000252CD"/>
    <w:rsid w:val="00025710"/>
    <w:rsid w:val="00031873"/>
    <w:rsid w:val="00032B6C"/>
    <w:rsid w:val="00041CB6"/>
    <w:rsid w:val="0004417A"/>
    <w:rsid w:val="000457CF"/>
    <w:rsid w:val="000505CE"/>
    <w:rsid w:val="00052B12"/>
    <w:rsid w:val="00055CD3"/>
    <w:rsid w:val="00057A1C"/>
    <w:rsid w:val="000603F7"/>
    <w:rsid w:val="00060D39"/>
    <w:rsid w:val="00062ABF"/>
    <w:rsid w:val="00066624"/>
    <w:rsid w:val="00066711"/>
    <w:rsid w:val="00070725"/>
    <w:rsid w:val="00072534"/>
    <w:rsid w:val="00072B7A"/>
    <w:rsid w:val="00073402"/>
    <w:rsid w:val="00081DFF"/>
    <w:rsid w:val="0008403F"/>
    <w:rsid w:val="00084172"/>
    <w:rsid w:val="00086D54"/>
    <w:rsid w:val="00087E01"/>
    <w:rsid w:val="00087E9A"/>
    <w:rsid w:val="000905F7"/>
    <w:rsid w:val="00090BA9"/>
    <w:rsid w:val="00094A64"/>
    <w:rsid w:val="000A1933"/>
    <w:rsid w:val="000A1FA3"/>
    <w:rsid w:val="000A2794"/>
    <w:rsid w:val="000A3393"/>
    <w:rsid w:val="000A405C"/>
    <w:rsid w:val="000A77C9"/>
    <w:rsid w:val="000B0B6A"/>
    <w:rsid w:val="000B1867"/>
    <w:rsid w:val="000B226B"/>
    <w:rsid w:val="000B3E97"/>
    <w:rsid w:val="000B488C"/>
    <w:rsid w:val="000B4E39"/>
    <w:rsid w:val="000B4ED0"/>
    <w:rsid w:val="000B635C"/>
    <w:rsid w:val="000B726C"/>
    <w:rsid w:val="000B7534"/>
    <w:rsid w:val="000B7824"/>
    <w:rsid w:val="000B7F47"/>
    <w:rsid w:val="000C16B0"/>
    <w:rsid w:val="000C24BB"/>
    <w:rsid w:val="000C4A82"/>
    <w:rsid w:val="000C5424"/>
    <w:rsid w:val="000C59E6"/>
    <w:rsid w:val="000C5E1C"/>
    <w:rsid w:val="000C707C"/>
    <w:rsid w:val="000D077A"/>
    <w:rsid w:val="000D1DFD"/>
    <w:rsid w:val="000E0273"/>
    <w:rsid w:val="000E2042"/>
    <w:rsid w:val="000E46C7"/>
    <w:rsid w:val="000E5758"/>
    <w:rsid w:val="000E633F"/>
    <w:rsid w:val="00102671"/>
    <w:rsid w:val="001031D6"/>
    <w:rsid w:val="00111CBC"/>
    <w:rsid w:val="00113E8E"/>
    <w:rsid w:val="00114781"/>
    <w:rsid w:val="00122768"/>
    <w:rsid w:val="0012463D"/>
    <w:rsid w:val="00126B77"/>
    <w:rsid w:val="001271AA"/>
    <w:rsid w:val="00131B15"/>
    <w:rsid w:val="001320EE"/>
    <w:rsid w:val="0013222F"/>
    <w:rsid w:val="00134E0B"/>
    <w:rsid w:val="001351F3"/>
    <w:rsid w:val="0013573C"/>
    <w:rsid w:val="00136753"/>
    <w:rsid w:val="0013794D"/>
    <w:rsid w:val="001379C3"/>
    <w:rsid w:val="001415E5"/>
    <w:rsid w:val="001424C4"/>
    <w:rsid w:val="001436AC"/>
    <w:rsid w:val="00145EE0"/>
    <w:rsid w:val="001466BE"/>
    <w:rsid w:val="00146FFE"/>
    <w:rsid w:val="001476C5"/>
    <w:rsid w:val="00157C9A"/>
    <w:rsid w:val="00161853"/>
    <w:rsid w:val="001651DB"/>
    <w:rsid w:val="00166944"/>
    <w:rsid w:val="001702D4"/>
    <w:rsid w:val="0017105E"/>
    <w:rsid w:val="001765ED"/>
    <w:rsid w:val="0017738D"/>
    <w:rsid w:val="00180B40"/>
    <w:rsid w:val="00180EA7"/>
    <w:rsid w:val="00180F5D"/>
    <w:rsid w:val="00182D1B"/>
    <w:rsid w:val="001866C7"/>
    <w:rsid w:val="00186984"/>
    <w:rsid w:val="00186EC6"/>
    <w:rsid w:val="00187074"/>
    <w:rsid w:val="001870B8"/>
    <w:rsid w:val="00191441"/>
    <w:rsid w:val="00192419"/>
    <w:rsid w:val="0019379A"/>
    <w:rsid w:val="00193E76"/>
    <w:rsid w:val="001A04F4"/>
    <w:rsid w:val="001A4D86"/>
    <w:rsid w:val="001B0662"/>
    <w:rsid w:val="001B0723"/>
    <w:rsid w:val="001B0BD7"/>
    <w:rsid w:val="001C0134"/>
    <w:rsid w:val="001C3A59"/>
    <w:rsid w:val="001D0209"/>
    <w:rsid w:val="001D02A9"/>
    <w:rsid w:val="001D06BD"/>
    <w:rsid w:val="001D1976"/>
    <w:rsid w:val="001D26BD"/>
    <w:rsid w:val="001D4168"/>
    <w:rsid w:val="001D55E2"/>
    <w:rsid w:val="001E3AC0"/>
    <w:rsid w:val="001E41C6"/>
    <w:rsid w:val="001E430A"/>
    <w:rsid w:val="001E44E9"/>
    <w:rsid w:val="001E4FBA"/>
    <w:rsid w:val="001E6E6B"/>
    <w:rsid w:val="001F1227"/>
    <w:rsid w:val="001F30A0"/>
    <w:rsid w:val="001F7E4D"/>
    <w:rsid w:val="00200BBD"/>
    <w:rsid w:val="00202DA4"/>
    <w:rsid w:val="002037EF"/>
    <w:rsid w:val="002038A0"/>
    <w:rsid w:val="00204FFE"/>
    <w:rsid w:val="0020511A"/>
    <w:rsid w:val="002069B8"/>
    <w:rsid w:val="002075DF"/>
    <w:rsid w:val="00207DAF"/>
    <w:rsid w:val="002101A8"/>
    <w:rsid w:val="00210C62"/>
    <w:rsid w:val="0021138A"/>
    <w:rsid w:val="00212700"/>
    <w:rsid w:val="00213218"/>
    <w:rsid w:val="0021358E"/>
    <w:rsid w:val="00216BA7"/>
    <w:rsid w:val="002172DD"/>
    <w:rsid w:val="00217D71"/>
    <w:rsid w:val="00221EF7"/>
    <w:rsid w:val="00223981"/>
    <w:rsid w:val="00224095"/>
    <w:rsid w:val="00231A8E"/>
    <w:rsid w:val="00233862"/>
    <w:rsid w:val="00235B1E"/>
    <w:rsid w:val="00237FB6"/>
    <w:rsid w:val="00240CC3"/>
    <w:rsid w:val="00242FBA"/>
    <w:rsid w:val="00246BC7"/>
    <w:rsid w:val="002502BD"/>
    <w:rsid w:val="00250462"/>
    <w:rsid w:val="002521B6"/>
    <w:rsid w:val="00254738"/>
    <w:rsid w:val="002549AE"/>
    <w:rsid w:val="00255FC7"/>
    <w:rsid w:val="002560F7"/>
    <w:rsid w:val="00257B24"/>
    <w:rsid w:val="00263B6E"/>
    <w:rsid w:val="00266547"/>
    <w:rsid w:val="00266F72"/>
    <w:rsid w:val="0026719B"/>
    <w:rsid w:val="00267D67"/>
    <w:rsid w:val="002709AF"/>
    <w:rsid w:val="0027366F"/>
    <w:rsid w:val="00273DB4"/>
    <w:rsid w:val="0027540A"/>
    <w:rsid w:val="00275C04"/>
    <w:rsid w:val="00276071"/>
    <w:rsid w:val="00276E5E"/>
    <w:rsid w:val="00277477"/>
    <w:rsid w:val="002774A2"/>
    <w:rsid w:val="00285E88"/>
    <w:rsid w:val="00290296"/>
    <w:rsid w:val="00292ADC"/>
    <w:rsid w:val="002950DC"/>
    <w:rsid w:val="00295862"/>
    <w:rsid w:val="0029646E"/>
    <w:rsid w:val="00296998"/>
    <w:rsid w:val="002A5864"/>
    <w:rsid w:val="002A799F"/>
    <w:rsid w:val="002B290D"/>
    <w:rsid w:val="002C4A99"/>
    <w:rsid w:val="002D139A"/>
    <w:rsid w:val="002D1A68"/>
    <w:rsid w:val="002D2D0A"/>
    <w:rsid w:val="002D306A"/>
    <w:rsid w:val="002D3896"/>
    <w:rsid w:val="002D5AFD"/>
    <w:rsid w:val="002D6014"/>
    <w:rsid w:val="002E09B7"/>
    <w:rsid w:val="002E0B46"/>
    <w:rsid w:val="002E2DFB"/>
    <w:rsid w:val="002E4C0F"/>
    <w:rsid w:val="002E4FAE"/>
    <w:rsid w:val="002E5CEE"/>
    <w:rsid w:val="002F2A62"/>
    <w:rsid w:val="002F381B"/>
    <w:rsid w:val="002F383B"/>
    <w:rsid w:val="002F38D0"/>
    <w:rsid w:val="002F3BAA"/>
    <w:rsid w:val="002F3EC5"/>
    <w:rsid w:val="002F4026"/>
    <w:rsid w:val="002F50EC"/>
    <w:rsid w:val="002F5787"/>
    <w:rsid w:val="002F77E4"/>
    <w:rsid w:val="003015C7"/>
    <w:rsid w:val="00302614"/>
    <w:rsid w:val="0030565B"/>
    <w:rsid w:val="00305A21"/>
    <w:rsid w:val="00305C5B"/>
    <w:rsid w:val="003107AA"/>
    <w:rsid w:val="0031113B"/>
    <w:rsid w:val="003120EE"/>
    <w:rsid w:val="0031260D"/>
    <w:rsid w:val="00313C9C"/>
    <w:rsid w:val="00314A00"/>
    <w:rsid w:val="00314E87"/>
    <w:rsid w:val="003153B9"/>
    <w:rsid w:val="003155D2"/>
    <w:rsid w:val="00316505"/>
    <w:rsid w:val="003168AD"/>
    <w:rsid w:val="003176A8"/>
    <w:rsid w:val="0032065D"/>
    <w:rsid w:val="00320BE7"/>
    <w:rsid w:val="00321BB1"/>
    <w:rsid w:val="003221D6"/>
    <w:rsid w:val="00322D7F"/>
    <w:rsid w:val="0032403F"/>
    <w:rsid w:val="0033178C"/>
    <w:rsid w:val="00334C2C"/>
    <w:rsid w:val="00343008"/>
    <w:rsid w:val="00345834"/>
    <w:rsid w:val="00346944"/>
    <w:rsid w:val="00350C65"/>
    <w:rsid w:val="0035101D"/>
    <w:rsid w:val="00351588"/>
    <w:rsid w:val="00354D14"/>
    <w:rsid w:val="0036000D"/>
    <w:rsid w:val="00360E58"/>
    <w:rsid w:val="0036213D"/>
    <w:rsid w:val="00362159"/>
    <w:rsid w:val="00364A9E"/>
    <w:rsid w:val="00370380"/>
    <w:rsid w:val="003728CB"/>
    <w:rsid w:val="003742C9"/>
    <w:rsid w:val="003752C5"/>
    <w:rsid w:val="00375600"/>
    <w:rsid w:val="00375B97"/>
    <w:rsid w:val="003760B9"/>
    <w:rsid w:val="0038054C"/>
    <w:rsid w:val="003818D7"/>
    <w:rsid w:val="0038315D"/>
    <w:rsid w:val="0038428B"/>
    <w:rsid w:val="00391322"/>
    <w:rsid w:val="0039441F"/>
    <w:rsid w:val="0039680C"/>
    <w:rsid w:val="00396813"/>
    <w:rsid w:val="00397BCC"/>
    <w:rsid w:val="003A0F8B"/>
    <w:rsid w:val="003A21A7"/>
    <w:rsid w:val="003A4460"/>
    <w:rsid w:val="003A4B83"/>
    <w:rsid w:val="003A67F1"/>
    <w:rsid w:val="003A6DF9"/>
    <w:rsid w:val="003B23F2"/>
    <w:rsid w:val="003B32D4"/>
    <w:rsid w:val="003B3803"/>
    <w:rsid w:val="003B46EB"/>
    <w:rsid w:val="003B4F19"/>
    <w:rsid w:val="003B68A3"/>
    <w:rsid w:val="003C28D2"/>
    <w:rsid w:val="003C33F4"/>
    <w:rsid w:val="003C52CB"/>
    <w:rsid w:val="003C5592"/>
    <w:rsid w:val="003C6EBB"/>
    <w:rsid w:val="003C7431"/>
    <w:rsid w:val="003D0ECA"/>
    <w:rsid w:val="003D0FA3"/>
    <w:rsid w:val="003D29B1"/>
    <w:rsid w:val="003D2B9D"/>
    <w:rsid w:val="003D4CD1"/>
    <w:rsid w:val="003D4E66"/>
    <w:rsid w:val="003D68F1"/>
    <w:rsid w:val="003E02E9"/>
    <w:rsid w:val="003E2947"/>
    <w:rsid w:val="003E2C69"/>
    <w:rsid w:val="003E44E9"/>
    <w:rsid w:val="003E7D60"/>
    <w:rsid w:val="003F51A6"/>
    <w:rsid w:val="003F5B7D"/>
    <w:rsid w:val="003F5DDC"/>
    <w:rsid w:val="004014D9"/>
    <w:rsid w:val="00401A11"/>
    <w:rsid w:val="004046C3"/>
    <w:rsid w:val="00406D2E"/>
    <w:rsid w:val="0040795F"/>
    <w:rsid w:val="00411E2F"/>
    <w:rsid w:val="00412576"/>
    <w:rsid w:val="0041570F"/>
    <w:rsid w:val="00415CB0"/>
    <w:rsid w:val="00420EB1"/>
    <w:rsid w:val="00425A70"/>
    <w:rsid w:val="00427061"/>
    <w:rsid w:val="00431DB6"/>
    <w:rsid w:val="00432429"/>
    <w:rsid w:val="00432B98"/>
    <w:rsid w:val="00432E62"/>
    <w:rsid w:val="00433071"/>
    <w:rsid w:val="00433104"/>
    <w:rsid w:val="004347F7"/>
    <w:rsid w:val="004347F8"/>
    <w:rsid w:val="00444076"/>
    <w:rsid w:val="00444C75"/>
    <w:rsid w:val="0045057E"/>
    <w:rsid w:val="00450905"/>
    <w:rsid w:val="00462879"/>
    <w:rsid w:val="00463A50"/>
    <w:rsid w:val="004653A4"/>
    <w:rsid w:val="0046595E"/>
    <w:rsid w:val="00470BA4"/>
    <w:rsid w:val="004722BB"/>
    <w:rsid w:val="00474510"/>
    <w:rsid w:val="00475D5B"/>
    <w:rsid w:val="00475D97"/>
    <w:rsid w:val="00476298"/>
    <w:rsid w:val="00482F8E"/>
    <w:rsid w:val="00485AE6"/>
    <w:rsid w:val="00486D3C"/>
    <w:rsid w:val="00490D78"/>
    <w:rsid w:val="00493E96"/>
    <w:rsid w:val="0049613D"/>
    <w:rsid w:val="00496EE6"/>
    <w:rsid w:val="004A02CC"/>
    <w:rsid w:val="004A20C6"/>
    <w:rsid w:val="004A2169"/>
    <w:rsid w:val="004A52C1"/>
    <w:rsid w:val="004A5359"/>
    <w:rsid w:val="004A5F5A"/>
    <w:rsid w:val="004A767D"/>
    <w:rsid w:val="004B01E9"/>
    <w:rsid w:val="004B1235"/>
    <w:rsid w:val="004B2CCA"/>
    <w:rsid w:val="004B4AAD"/>
    <w:rsid w:val="004B6234"/>
    <w:rsid w:val="004C14BB"/>
    <w:rsid w:val="004C299B"/>
    <w:rsid w:val="004C445E"/>
    <w:rsid w:val="004C7C27"/>
    <w:rsid w:val="004D0D22"/>
    <w:rsid w:val="004D3260"/>
    <w:rsid w:val="004D6783"/>
    <w:rsid w:val="004D7340"/>
    <w:rsid w:val="004E2A47"/>
    <w:rsid w:val="004E42E5"/>
    <w:rsid w:val="004E46A3"/>
    <w:rsid w:val="004E57B7"/>
    <w:rsid w:val="004E7822"/>
    <w:rsid w:val="004F1066"/>
    <w:rsid w:val="004F3987"/>
    <w:rsid w:val="004F51AA"/>
    <w:rsid w:val="004F55AB"/>
    <w:rsid w:val="004F60D1"/>
    <w:rsid w:val="004F71BC"/>
    <w:rsid w:val="00500CDA"/>
    <w:rsid w:val="005044F6"/>
    <w:rsid w:val="005164F7"/>
    <w:rsid w:val="00516B00"/>
    <w:rsid w:val="00517B97"/>
    <w:rsid w:val="00522B98"/>
    <w:rsid w:val="00523867"/>
    <w:rsid w:val="00523C39"/>
    <w:rsid w:val="00525211"/>
    <w:rsid w:val="00526CE2"/>
    <w:rsid w:val="00527449"/>
    <w:rsid w:val="005339EF"/>
    <w:rsid w:val="00533A5E"/>
    <w:rsid w:val="00534BBF"/>
    <w:rsid w:val="005358ED"/>
    <w:rsid w:val="00541AF9"/>
    <w:rsid w:val="0054237D"/>
    <w:rsid w:val="00542B75"/>
    <w:rsid w:val="005441D7"/>
    <w:rsid w:val="00544276"/>
    <w:rsid w:val="0054515C"/>
    <w:rsid w:val="00545168"/>
    <w:rsid w:val="00550F7B"/>
    <w:rsid w:val="005519AF"/>
    <w:rsid w:val="0055708E"/>
    <w:rsid w:val="0055788C"/>
    <w:rsid w:val="00563191"/>
    <w:rsid w:val="00566089"/>
    <w:rsid w:val="00566D6C"/>
    <w:rsid w:val="00566DAA"/>
    <w:rsid w:val="0057071C"/>
    <w:rsid w:val="00571A59"/>
    <w:rsid w:val="00572B8A"/>
    <w:rsid w:val="00572F58"/>
    <w:rsid w:val="00574170"/>
    <w:rsid w:val="00575AD8"/>
    <w:rsid w:val="00575AE7"/>
    <w:rsid w:val="00581AD2"/>
    <w:rsid w:val="00582555"/>
    <w:rsid w:val="005828ED"/>
    <w:rsid w:val="00583846"/>
    <w:rsid w:val="00583AD4"/>
    <w:rsid w:val="00583E7F"/>
    <w:rsid w:val="00584A86"/>
    <w:rsid w:val="00586595"/>
    <w:rsid w:val="005923E4"/>
    <w:rsid w:val="00592426"/>
    <w:rsid w:val="005940F8"/>
    <w:rsid w:val="00594A32"/>
    <w:rsid w:val="005A637B"/>
    <w:rsid w:val="005B0228"/>
    <w:rsid w:val="005B153C"/>
    <w:rsid w:val="005B3894"/>
    <w:rsid w:val="005B6CDF"/>
    <w:rsid w:val="005C7694"/>
    <w:rsid w:val="005D0D0D"/>
    <w:rsid w:val="005D1E50"/>
    <w:rsid w:val="005D2B33"/>
    <w:rsid w:val="005D2B61"/>
    <w:rsid w:val="005D6867"/>
    <w:rsid w:val="005E1A03"/>
    <w:rsid w:val="005E27EA"/>
    <w:rsid w:val="005E2BC5"/>
    <w:rsid w:val="005E3833"/>
    <w:rsid w:val="005E5618"/>
    <w:rsid w:val="005E61F3"/>
    <w:rsid w:val="005E7F4D"/>
    <w:rsid w:val="005F272F"/>
    <w:rsid w:val="005F4946"/>
    <w:rsid w:val="005F49EC"/>
    <w:rsid w:val="005F7296"/>
    <w:rsid w:val="00602D5C"/>
    <w:rsid w:val="00603151"/>
    <w:rsid w:val="0060512D"/>
    <w:rsid w:val="0060721A"/>
    <w:rsid w:val="0061005A"/>
    <w:rsid w:val="00614BEC"/>
    <w:rsid w:val="006157FE"/>
    <w:rsid w:val="006167AD"/>
    <w:rsid w:val="00617DC9"/>
    <w:rsid w:val="006225E5"/>
    <w:rsid w:val="006229FB"/>
    <w:rsid w:val="006233B9"/>
    <w:rsid w:val="00623B13"/>
    <w:rsid w:val="00627C66"/>
    <w:rsid w:val="00631DE6"/>
    <w:rsid w:val="00631FC9"/>
    <w:rsid w:val="006322F1"/>
    <w:rsid w:val="006333B4"/>
    <w:rsid w:val="00635850"/>
    <w:rsid w:val="00637930"/>
    <w:rsid w:val="006411BF"/>
    <w:rsid w:val="00643643"/>
    <w:rsid w:val="00646A12"/>
    <w:rsid w:val="00651BE1"/>
    <w:rsid w:val="0065210E"/>
    <w:rsid w:val="006538EB"/>
    <w:rsid w:val="00654D65"/>
    <w:rsid w:val="00655619"/>
    <w:rsid w:val="00655F85"/>
    <w:rsid w:val="00665DD5"/>
    <w:rsid w:val="0066627B"/>
    <w:rsid w:val="00671B28"/>
    <w:rsid w:val="00673B14"/>
    <w:rsid w:val="006766A9"/>
    <w:rsid w:val="006771F1"/>
    <w:rsid w:val="006779B1"/>
    <w:rsid w:val="006803DF"/>
    <w:rsid w:val="006842E1"/>
    <w:rsid w:val="006900B0"/>
    <w:rsid w:val="006904C6"/>
    <w:rsid w:val="00695286"/>
    <w:rsid w:val="0069592C"/>
    <w:rsid w:val="006A1C25"/>
    <w:rsid w:val="006A204C"/>
    <w:rsid w:val="006A60F5"/>
    <w:rsid w:val="006A7FF4"/>
    <w:rsid w:val="006B1181"/>
    <w:rsid w:val="006B2158"/>
    <w:rsid w:val="006B59F8"/>
    <w:rsid w:val="006B70C4"/>
    <w:rsid w:val="006B792A"/>
    <w:rsid w:val="006B7EEC"/>
    <w:rsid w:val="006C2BA7"/>
    <w:rsid w:val="006C37DA"/>
    <w:rsid w:val="006C414E"/>
    <w:rsid w:val="006C73E7"/>
    <w:rsid w:val="006C7E7B"/>
    <w:rsid w:val="006D0077"/>
    <w:rsid w:val="006D31FA"/>
    <w:rsid w:val="006D3660"/>
    <w:rsid w:val="006D665D"/>
    <w:rsid w:val="006D71FC"/>
    <w:rsid w:val="006E00B6"/>
    <w:rsid w:val="006E250D"/>
    <w:rsid w:val="006E2CA1"/>
    <w:rsid w:val="006E39C8"/>
    <w:rsid w:val="006E6D2C"/>
    <w:rsid w:val="006F1C30"/>
    <w:rsid w:val="006F3C89"/>
    <w:rsid w:val="006F424E"/>
    <w:rsid w:val="00700048"/>
    <w:rsid w:val="007040D3"/>
    <w:rsid w:val="007069D9"/>
    <w:rsid w:val="00710CAD"/>
    <w:rsid w:val="00711C85"/>
    <w:rsid w:val="00711D51"/>
    <w:rsid w:val="00713ED4"/>
    <w:rsid w:val="00714BC9"/>
    <w:rsid w:val="007151AE"/>
    <w:rsid w:val="007154EF"/>
    <w:rsid w:val="00720C72"/>
    <w:rsid w:val="007248E7"/>
    <w:rsid w:val="0072765B"/>
    <w:rsid w:val="00727C9B"/>
    <w:rsid w:val="007322F7"/>
    <w:rsid w:val="007325CF"/>
    <w:rsid w:val="0073556A"/>
    <w:rsid w:val="00735B2E"/>
    <w:rsid w:val="007369FC"/>
    <w:rsid w:val="007400F6"/>
    <w:rsid w:val="00740734"/>
    <w:rsid w:val="00740EBD"/>
    <w:rsid w:val="00744241"/>
    <w:rsid w:val="0074494E"/>
    <w:rsid w:val="00744FE8"/>
    <w:rsid w:val="00746FD5"/>
    <w:rsid w:val="0074761F"/>
    <w:rsid w:val="00747670"/>
    <w:rsid w:val="00751CDB"/>
    <w:rsid w:val="0075745D"/>
    <w:rsid w:val="0076064D"/>
    <w:rsid w:val="00761613"/>
    <w:rsid w:val="00764DD7"/>
    <w:rsid w:val="007678A8"/>
    <w:rsid w:val="00767F12"/>
    <w:rsid w:val="00771F21"/>
    <w:rsid w:val="00772075"/>
    <w:rsid w:val="007748FA"/>
    <w:rsid w:val="007759D2"/>
    <w:rsid w:val="007767C8"/>
    <w:rsid w:val="007767F3"/>
    <w:rsid w:val="007848F9"/>
    <w:rsid w:val="00787D55"/>
    <w:rsid w:val="0079058B"/>
    <w:rsid w:val="00792A3D"/>
    <w:rsid w:val="007932FE"/>
    <w:rsid w:val="00794960"/>
    <w:rsid w:val="00795F2A"/>
    <w:rsid w:val="0079738B"/>
    <w:rsid w:val="00797DA6"/>
    <w:rsid w:val="007A4094"/>
    <w:rsid w:val="007B090C"/>
    <w:rsid w:val="007B161E"/>
    <w:rsid w:val="007B205A"/>
    <w:rsid w:val="007B5041"/>
    <w:rsid w:val="007B6B5B"/>
    <w:rsid w:val="007B7A40"/>
    <w:rsid w:val="007C170D"/>
    <w:rsid w:val="007C5D13"/>
    <w:rsid w:val="007C6E77"/>
    <w:rsid w:val="007D0532"/>
    <w:rsid w:val="007D10D8"/>
    <w:rsid w:val="007D361D"/>
    <w:rsid w:val="007D3624"/>
    <w:rsid w:val="007D3DE4"/>
    <w:rsid w:val="007D512C"/>
    <w:rsid w:val="007D6587"/>
    <w:rsid w:val="007E1A58"/>
    <w:rsid w:val="007E24E3"/>
    <w:rsid w:val="007E4F9F"/>
    <w:rsid w:val="007E7349"/>
    <w:rsid w:val="007F2E48"/>
    <w:rsid w:val="007F6ED6"/>
    <w:rsid w:val="007F7177"/>
    <w:rsid w:val="008006B7"/>
    <w:rsid w:val="0080178C"/>
    <w:rsid w:val="0080178F"/>
    <w:rsid w:val="00801E64"/>
    <w:rsid w:val="008029C9"/>
    <w:rsid w:val="0080596A"/>
    <w:rsid w:val="00805E73"/>
    <w:rsid w:val="008105D5"/>
    <w:rsid w:val="008163BA"/>
    <w:rsid w:val="008175AF"/>
    <w:rsid w:val="008242B9"/>
    <w:rsid w:val="008260F3"/>
    <w:rsid w:val="008275C4"/>
    <w:rsid w:val="00830E35"/>
    <w:rsid w:val="008319C0"/>
    <w:rsid w:val="0083450B"/>
    <w:rsid w:val="00837401"/>
    <w:rsid w:val="00837A83"/>
    <w:rsid w:val="0084110F"/>
    <w:rsid w:val="0084138D"/>
    <w:rsid w:val="00843937"/>
    <w:rsid w:val="00845570"/>
    <w:rsid w:val="00850A79"/>
    <w:rsid w:val="00853665"/>
    <w:rsid w:val="008556A4"/>
    <w:rsid w:val="00856C1E"/>
    <w:rsid w:val="0085734D"/>
    <w:rsid w:val="0086132E"/>
    <w:rsid w:val="00861C95"/>
    <w:rsid w:val="00863780"/>
    <w:rsid w:val="008645A6"/>
    <w:rsid w:val="008659A8"/>
    <w:rsid w:val="00865B49"/>
    <w:rsid w:val="00867643"/>
    <w:rsid w:val="00871A2D"/>
    <w:rsid w:val="00873BA0"/>
    <w:rsid w:val="00880137"/>
    <w:rsid w:val="00880BD7"/>
    <w:rsid w:val="00880E30"/>
    <w:rsid w:val="00881790"/>
    <w:rsid w:val="008830E5"/>
    <w:rsid w:val="00883A6E"/>
    <w:rsid w:val="00885AAE"/>
    <w:rsid w:val="008871B9"/>
    <w:rsid w:val="00890914"/>
    <w:rsid w:val="00890A0F"/>
    <w:rsid w:val="00890EFE"/>
    <w:rsid w:val="00890F41"/>
    <w:rsid w:val="00891086"/>
    <w:rsid w:val="00892BAD"/>
    <w:rsid w:val="00893FB0"/>
    <w:rsid w:val="008969AA"/>
    <w:rsid w:val="008970D6"/>
    <w:rsid w:val="008A0FD0"/>
    <w:rsid w:val="008A171F"/>
    <w:rsid w:val="008A1C2A"/>
    <w:rsid w:val="008A356C"/>
    <w:rsid w:val="008A537D"/>
    <w:rsid w:val="008A669E"/>
    <w:rsid w:val="008A77B7"/>
    <w:rsid w:val="008A7D17"/>
    <w:rsid w:val="008B1406"/>
    <w:rsid w:val="008B602A"/>
    <w:rsid w:val="008B6CEF"/>
    <w:rsid w:val="008B71CA"/>
    <w:rsid w:val="008B7FCC"/>
    <w:rsid w:val="008C1520"/>
    <w:rsid w:val="008C3D8E"/>
    <w:rsid w:val="008C6487"/>
    <w:rsid w:val="008C6DC3"/>
    <w:rsid w:val="008C72A7"/>
    <w:rsid w:val="008C7C18"/>
    <w:rsid w:val="008C7D5F"/>
    <w:rsid w:val="008D04AE"/>
    <w:rsid w:val="008D0B28"/>
    <w:rsid w:val="008D5270"/>
    <w:rsid w:val="008D6E23"/>
    <w:rsid w:val="008D7FF2"/>
    <w:rsid w:val="008F1EB7"/>
    <w:rsid w:val="008F2F30"/>
    <w:rsid w:val="008F6484"/>
    <w:rsid w:val="00900375"/>
    <w:rsid w:val="00904B26"/>
    <w:rsid w:val="009065CE"/>
    <w:rsid w:val="00906ADA"/>
    <w:rsid w:val="0091106C"/>
    <w:rsid w:val="00913759"/>
    <w:rsid w:val="0091398A"/>
    <w:rsid w:val="0091779C"/>
    <w:rsid w:val="00917833"/>
    <w:rsid w:val="009219A1"/>
    <w:rsid w:val="009242A0"/>
    <w:rsid w:val="00924337"/>
    <w:rsid w:val="009258D2"/>
    <w:rsid w:val="00926131"/>
    <w:rsid w:val="00926C9B"/>
    <w:rsid w:val="00927793"/>
    <w:rsid w:val="009301AB"/>
    <w:rsid w:val="00930235"/>
    <w:rsid w:val="00930511"/>
    <w:rsid w:val="009328BC"/>
    <w:rsid w:val="00933B07"/>
    <w:rsid w:val="00934C70"/>
    <w:rsid w:val="00936F13"/>
    <w:rsid w:val="00936F98"/>
    <w:rsid w:val="00937B05"/>
    <w:rsid w:val="00941612"/>
    <w:rsid w:val="00942935"/>
    <w:rsid w:val="0094298F"/>
    <w:rsid w:val="009459F4"/>
    <w:rsid w:val="00945D8F"/>
    <w:rsid w:val="009525E5"/>
    <w:rsid w:val="0095308C"/>
    <w:rsid w:val="00955EEA"/>
    <w:rsid w:val="009578F2"/>
    <w:rsid w:val="009604A4"/>
    <w:rsid w:val="0096153D"/>
    <w:rsid w:val="00964C34"/>
    <w:rsid w:val="00967080"/>
    <w:rsid w:val="009678ED"/>
    <w:rsid w:val="00971941"/>
    <w:rsid w:val="00972467"/>
    <w:rsid w:val="00973751"/>
    <w:rsid w:val="009803C9"/>
    <w:rsid w:val="00980F92"/>
    <w:rsid w:val="00981E7D"/>
    <w:rsid w:val="00982CDF"/>
    <w:rsid w:val="00984BC3"/>
    <w:rsid w:val="00990B2F"/>
    <w:rsid w:val="0099312B"/>
    <w:rsid w:val="00993D5C"/>
    <w:rsid w:val="00994E95"/>
    <w:rsid w:val="00994F21"/>
    <w:rsid w:val="00997B84"/>
    <w:rsid w:val="009A1991"/>
    <w:rsid w:val="009A3CAB"/>
    <w:rsid w:val="009A5C62"/>
    <w:rsid w:val="009B09C9"/>
    <w:rsid w:val="009B1736"/>
    <w:rsid w:val="009B29C8"/>
    <w:rsid w:val="009B4F87"/>
    <w:rsid w:val="009B75B7"/>
    <w:rsid w:val="009C6D5E"/>
    <w:rsid w:val="009C77B7"/>
    <w:rsid w:val="009D0F50"/>
    <w:rsid w:val="009D14FE"/>
    <w:rsid w:val="009D2023"/>
    <w:rsid w:val="009D5355"/>
    <w:rsid w:val="009D7CFF"/>
    <w:rsid w:val="009D7DE6"/>
    <w:rsid w:val="009E11CB"/>
    <w:rsid w:val="009E11E1"/>
    <w:rsid w:val="009E16E5"/>
    <w:rsid w:val="009E259A"/>
    <w:rsid w:val="009E5060"/>
    <w:rsid w:val="009E7F96"/>
    <w:rsid w:val="009F031C"/>
    <w:rsid w:val="009F0BFC"/>
    <w:rsid w:val="009F3099"/>
    <w:rsid w:val="009F3FCF"/>
    <w:rsid w:val="009F5E74"/>
    <w:rsid w:val="00A00CF4"/>
    <w:rsid w:val="00A0696C"/>
    <w:rsid w:val="00A069DB"/>
    <w:rsid w:val="00A134D0"/>
    <w:rsid w:val="00A13C73"/>
    <w:rsid w:val="00A15DAD"/>
    <w:rsid w:val="00A23AB2"/>
    <w:rsid w:val="00A249F7"/>
    <w:rsid w:val="00A32DD3"/>
    <w:rsid w:val="00A341BD"/>
    <w:rsid w:val="00A3719F"/>
    <w:rsid w:val="00A411A0"/>
    <w:rsid w:val="00A41449"/>
    <w:rsid w:val="00A43FBB"/>
    <w:rsid w:val="00A5128E"/>
    <w:rsid w:val="00A523E9"/>
    <w:rsid w:val="00A56BF8"/>
    <w:rsid w:val="00A61FD1"/>
    <w:rsid w:val="00A62668"/>
    <w:rsid w:val="00A63FFE"/>
    <w:rsid w:val="00A652D8"/>
    <w:rsid w:val="00A66692"/>
    <w:rsid w:val="00A70033"/>
    <w:rsid w:val="00A73449"/>
    <w:rsid w:val="00A74942"/>
    <w:rsid w:val="00A83731"/>
    <w:rsid w:val="00A85EE6"/>
    <w:rsid w:val="00A87273"/>
    <w:rsid w:val="00A911D0"/>
    <w:rsid w:val="00A9201A"/>
    <w:rsid w:val="00A9417F"/>
    <w:rsid w:val="00A95613"/>
    <w:rsid w:val="00A96E8B"/>
    <w:rsid w:val="00A971DF"/>
    <w:rsid w:val="00AA4892"/>
    <w:rsid w:val="00AA5461"/>
    <w:rsid w:val="00AA5C05"/>
    <w:rsid w:val="00AA67DB"/>
    <w:rsid w:val="00AA7C5C"/>
    <w:rsid w:val="00AA7D20"/>
    <w:rsid w:val="00AB0099"/>
    <w:rsid w:val="00AB1D67"/>
    <w:rsid w:val="00AB1FFE"/>
    <w:rsid w:val="00AB3D3F"/>
    <w:rsid w:val="00AB5DFA"/>
    <w:rsid w:val="00AB7EA1"/>
    <w:rsid w:val="00AC1F92"/>
    <w:rsid w:val="00AC20A9"/>
    <w:rsid w:val="00AC554E"/>
    <w:rsid w:val="00AC70B0"/>
    <w:rsid w:val="00AD2495"/>
    <w:rsid w:val="00AD292C"/>
    <w:rsid w:val="00AD2DD6"/>
    <w:rsid w:val="00AD688B"/>
    <w:rsid w:val="00AD796D"/>
    <w:rsid w:val="00AE0310"/>
    <w:rsid w:val="00AE0E33"/>
    <w:rsid w:val="00AE1826"/>
    <w:rsid w:val="00AE1A2F"/>
    <w:rsid w:val="00AE31B2"/>
    <w:rsid w:val="00AE65B5"/>
    <w:rsid w:val="00AE7793"/>
    <w:rsid w:val="00AF08D5"/>
    <w:rsid w:val="00AF1102"/>
    <w:rsid w:val="00AF3216"/>
    <w:rsid w:val="00AF41F8"/>
    <w:rsid w:val="00AF4856"/>
    <w:rsid w:val="00AF6689"/>
    <w:rsid w:val="00AF6C67"/>
    <w:rsid w:val="00B012CB"/>
    <w:rsid w:val="00B01570"/>
    <w:rsid w:val="00B01E37"/>
    <w:rsid w:val="00B0469A"/>
    <w:rsid w:val="00B04982"/>
    <w:rsid w:val="00B0760C"/>
    <w:rsid w:val="00B07979"/>
    <w:rsid w:val="00B07B46"/>
    <w:rsid w:val="00B1209A"/>
    <w:rsid w:val="00B15368"/>
    <w:rsid w:val="00B219B9"/>
    <w:rsid w:val="00B21BD0"/>
    <w:rsid w:val="00B25D60"/>
    <w:rsid w:val="00B274C9"/>
    <w:rsid w:val="00B30FD8"/>
    <w:rsid w:val="00B335A6"/>
    <w:rsid w:val="00B348FC"/>
    <w:rsid w:val="00B35A80"/>
    <w:rsid w:val="00B409ED"/>
    <w:rsid w:val="00B425FF"/>
    <w:rsid w:val="00B43054"/>
    <w:rsid w:val="00B44144"/>
    <w:rsid w:val="00B47244"/>
    <w:rsid w:val="00B538A2"/>
    <w:rsid w:val="00B53C58"/>
    <w:rsid w:val="00B53EED"/>
    <w:rsid w:val="00B5564F"/>
    <w:rsid w:val="00B566F3"/>
    <w:rsid w:val="00B62E77"/>
    <w:rsid w:val="00B663B6"/>
    <w:rsid w:val="00B67BC9"/>
    <w:rsid w:val="00B7092E"/>
    <w:rsid w:val="00B74CC6"/>
    <w:rsid w:val="00B76BD5"/>
    <w:rsid w:val="00B81645"/>
    <w:rsid w:val="00B817FD"/>
    <w:rsid w:val="00B82AA5"/>
    <w:rsid w:val="00B93113"/>
    <w:rsid w:val="00B97638"/>
    <w:rsid w:val="00BA0E05"/>
    <w:rsid w:val="00BA5131"/>
    <w:rsid w:val="00BA6F8C"/>
    <w:rsid w:val="00BA72B2"/>
    <w:rsid w:val="00BB3457"/>
    <w:rsid w:val="00BB4FD8"/>
    <w:rsid w:val="00BB516B"/>
    <w:rsid w:val="00BB5603"/>
    <w:rsid w:val="00BB6808"/>
    <w:rsid w:val="00BB6CD4"/>
    <w:rsid w:val="00BC103F"/>
    <w:rsid w:val="00BC46E3"/>
    <w:rsid w:val="00BC70DF"/>
    <w:rsid w:val="00BC7674"/>
    <w:rsid w:val="00BD2ECA"/>
    <w:rsid w:val="00BD7E71"/>
    <w:rsid w:val="00BE001A"/>
    <w:rsid w:val="00BE0300"/>
    <w:rsid w:val="00BE2057"/>
    <w:rsid w:val="00BE2124"/>
    <w:rsid w:val="00BE3C71"/>
    <w:rsid w:val="00BE474A"/>
    <w:rsid w:val="00BE48DB"/>
    <w:rsid w:val="00BE5D99"/>
    <w:rsid w:val="00BE6BD4"/>
    <w:rsid w:val="00BE7136"/>
    <w:rsid w:val="00BE7B5D"/>
    <w:rsid w:val="00BF0AA5"/>
    <w:rsid w:val="00BF1295"/>
    <w:rsid w:val="00BF12F5"/>
    <w:rsid w:val="00BF20A5"/>
    <w:rsid w:val="00BF3470"/>
    <w:rsid w:val="00BF7439"/>
    <w:rsid w:val="00BF7961"/>
    <w:rsid w:val="00C15605"/>
    <w:rsid w:val="00C16BA9"/>
    <w:rsid w:val="00C17C8F"/>
    <w:rsid w:val="00C212A1"/>
    <w:rsid w:val="00C236D0"/>
    <w:rsid w:val="00C23ADC"/>
    <w:rsid w:val="00C26989"/>
    <w:rsid w:val="00C2720D"/>
    <w:rsid w:val="00C337B9"/>
    <w:rsid w:val="00C34E85"/>
    <w:rsid w:val="00C4002F"/>
    <w:rsid w:val="00C41A3F"/>
    <w:rsid w:val="00C42A42"/>
    <w:rsid w:val="00C42B2A"/>
    <w:rsid w:val="00C43136"/>
    <w:rsid w:val="00C43AF6"/>
    <w:rsid w:val="00C449FE"/>
    <w:rsid w:val="00C45B8B"/>
    <w:rsid w:val="00C45ED1"/>
    <w:rsid w:val="00C500EC"/>
    <w:rsid w:val="00C510D2"/>
    <w:rsid w:val="00C555F6"/>
    <w:rsid w:val="00C55C81"/>
    <w:rsid w:val="00C577FC"/>
    <w:rsid w:val="00C627E1"/>
    <w:rsid w:val="00C707DA"/>
    <w:rsid w:val="00C713D7"/>
    <w:rsid w:val="00C73FDC"/>
    <w:rsid w:val="00C745B5"/>
    <w:rsid w:val="00C80562"/>
    <w:rsid w:val="00C81E1A"/>
    <w:rsid w:val="00C84450"/>
    <w:rsid w:val="00C84A38"/>
    <w:rsid w:val="00C86F3C"/>
    <w:rsid w:val="00C9063E"/>
    <w:rsid w:val="00C95A17"/>
    <w:rsid w:val="00C975A9"/>
    <w:rsid w:val="00C976D2"/>
    <w:rsid w:val="00CA190E"/>
    <w:rsid w:val="00CA3E8B"/>
    <w:rsid w:val="00CA50EE"/>
    <w:rsid w:val="00CA6CAA"/>
    <w:rsid w:val="00CA71DE"/>
    <w:rsid w:val="00CB0094"/>
    <w:rsid w:val="00CB214D"/>
    <w:rsid w:val="00CB32BD"/>
    <w:rsid w:val="00CB4C53"/>
    <w:rsid w:val="00CB5545"/>
    <w:rsid w:val="00CC26F4"/>
    <w:rsid w:val="00CC5038"/>
    <w:rsid w:val="00CC57F7"/>
    <w:rsid w:val="00CC77B6"/>
    <w:rsid w:val="00CD3A82"/>
    <w:rsid w:val="00CD4264"/>
    <w:rsid w:val="00CD549B"/>
    <w:rsid w:val="00CE0C52"/>
    <w:rsid w:val="00CE0EB3"/>
    <w:rsid w:val="00CE31FE"/>
    <w:rsid w:val="00CE5297"/>
    <w:rsid w:val="00CE6E50"/>
    <w:rsid w:val="00CF205B"/>
    <w:rsid w:val="00CF28A7"/>
    <w:rsid w:val="00CF2A50"/>
    <w:rsid w:val="00CF6CD6"/>
    <w:rsid w:val="00CF7002"/>
    <w:rsid w:val="00CF7811"/>
    <w:rsid w:val="00D025DC"/>
    <w:rsid w:val="00D04E1D"/>
    <w:rsid w:val="00D069D8"/>
    <w:rsid w:val="00D104D4"/>
    <w:rsid w:val="00D11494"/>
    <w:rsid w:val="00D11C75"/>
    <w:rsid w:val="00D12232"/>
    <w:rsid w:val="00D12792"/>
    <w:rsid w:val="00D12AAB"/>
    <w:rsid w:val="00D133A9"/>
    <w:rsid w:val="00D13DC1"/>
    <w:rsid w:val="00D14295"/>
    <w:rsid w:val="00D15803"/>
    <w:rsid w:val="00D1622F"/>
    <w:rsid w:val="00D1743D"/>
    <w:rsid w:val="00D1793C"/>
    <w:rsid w:val="00D232F3"/>
    <w:rsid w:val="00D23F9D"/>
    <w:rsid w:val="00D24532"/>
    <w:rsid w:val="00D25058"/>
    <w:rsid w:val="00D258C2"/>
    <w:rsid w:val="00D36FE7"/>
    <w:rsid w:val="00D40A62"/>
    <w:rsid w:val="00D42EF5"/>
    <w:rsid w:val="00D462B7"/>
    <w:rsid w:val="00D46A7A"/>
    <w:rsid w:val="00D509F8"/>
    <w:rsid w:val="00D51F03"/>
    <w:rsid w:val="00D52079"/>
    <w:rsid w:val="00D527D1"/>
    <w:rsid w:val="00D5380F"/>
    <w:rsid w:val="00D5622B"/>
    <w:rsid w:val="00D60CC1"/>
    <w:rsid w:val="00D62373"/>
    <w:rsid w:val="00D63098"/>
    <w:rsid w:val="00D642E9"/>
    <w:rsid w:val="00D66317"/>
    <w:rsid w:val="00D7384F"/>
    <w:rsid w:val="00D7492D"/>
    <w:rsid w:val="00D772D5"/>
    <w:rsid w:val="00D77C0A"/>
    <w:rsid w:val="00D80245"/>
    <w:rsid w:val="00D8075F"/>
    <w:rsid w:val="00D814F0"/>
    <w:rsid w:val="00D82242"/>
    <w:rsid w:val="00D82E74"/>
    <w:rsid w:val="00D8341F"/>
    <w:rsid w:val="00D865C5"/>
    <w:rsid w:val="00D87C00"/>
    <w:rsid w:val="00D930E7"/>
    <w:rsid w:val="00D95B30"/>
    <w:rsid w:val="00D960E2"/>
    <w:rsid w:val="00D9726A"/>
    <w:rsid w:val="00DA04E1"/>
    <w:rsid w:val="00DA2B0C"/>
    <w:rsid w:val="00DA5143"/>
    <w:rsid w:val="00DA6BAA"/>
    <w:rsid w:val="00DA7B7B"/>
    <w:rsid w:val="00DB4675"/>
    <w:rsid w:val="00DC0FDF"/>
    <w:rsid w:val="00DC13F2"/>
    <w:rsid w:val="00DC4286"/>
    <w:rsid w:val="00DC61B9"/>
    <w:rsid w:val="00DC65FE"/>
    <w:rsid w:val="00DD018C"/>
    <w:rsid w:val="00DD0967"/>
    <w:rsid w:val="00DD29C2"/>
    <w:rsid w:val="00DD2C97"/>
    <w:rsid w:val="00DD2FAB"/>
    <w:rsid w:val="00DD3372"/>
    <w:rsid w:val="00DD33C1"/>
    <w:rsid w:val="00DD3AC8"/>
    <w:rsid w:val="00DE0803"/>
    <w:rsid w:val="00DE10D1"/>
    <w:rsid w:val="00DE245F"/>
    <w:rsid w:val="00DE3252"/>
    <w:rsid w:val="00DF17FF"/>
    <w:rsid w:val="00DF6F13"/>
    <w:rsid w:val="00E048F2"/>
    <w:rsid w:val="00E05612"/>
    <w:rsid w:val="00E061D6"/>
    <w:rsid w:val="00E07A92"/>
    <w:rsid w:val="00E07D5C"/>
    <w:rsid w:val="00E13488"/>
    <w:rsid w:val="00E15821"/>
    <w:rsid w:val="00E16617"/>
    <w:rsid w:val="00E20018"/>
    <w:rsid w:val="00E21DEC"/>
    <w:rsid w:val="00E26330"/>
    <w:rsid w:val="00E26FB8"/>
    <w:rsid w:val="00E27E23"/>
    <w:rsid w:val="00E30AEB"/>
    <w:rsid w:val="00E30BF6"/>
    <w:rsid w:val="00E37B54"/>
    <w:rsid w:val="00E402BE"/>
    <w:rsid w:val="00E41A36"/>
    <w:rsid w:val="00E42F9B"/>
    <w:rsid w:val="00E430A3"/>
    <w:rsid w:val="00E43148"/>
    <w:rsid w:val="00E46253"/>
    <w:rsid w:val="00E47D42"/>
    <w:rsid w:val="00E55A24"/>
    <w:rsid w:val="00E57BDE"/>
    <w:rsid w:val="00E6013A"/>
    <w:rsid w:val="00E60CE5"/>
    <w:rsid w:val="00E6206E"/>
    <w:rsid w:val="00E62FF7"/>
    <w:rsid w:val="00E6373C"/>
    <w:rsid w:val="00E63924"/>
    <w:rsid w:val="00E649B8"/>
    <w:rsid w:val="00E65AB0"/>
    <w:rsid w:val="00E6790D"/>
    <w:rsid w:val="00E72DAC"/>
    <w:rsid w:val="00E73D1E"/>
    <w:rsid w:val="00E74DB3"/>
    <w:rsid w:val="00E819AC"/>
    <w:rsid w:val="00E84F84"/>
    <w:rsid w:val="00E8685C"/>
    <w:rsid w:val="00E87042"/>
    <w:rsid w:val="00E9030F"/>
    <w:rsid w:val="00E920E3"/>
    <w:rsid w:val="00E9240A"/>
    <w:rsid w:val="00E936AF"/>
    <w:rsid w:val="00E94EF5"/>
    <w:rsid w:val="00E9630E"/>
    <w:rsid w:val="00E979DF"/>
    <w:rsid w:val="00EA0914"/>
    <w:rsid w:val="00EA5020"/>
    <w:rsid w:val="00EA7AFE"/>
    <w:rsid w:val="00EB0708"/>
    <w:rsid w:val="00EB1DD9"/>
    <w:rsid w:val="00EB5F4B"/>
    <w:rsid w:val="00EB6819"/>
    <w:rsid w:val="00EC2D53"/>
    <w:rsid w:val="00EC2F64"/>
    <w:rsid w:val="00EC567F"/>
    <w:rsid w:val="00EC5D10"/>
    <w:rsid w:val="00EC67CD"/>
    <w:rsid w:val="00ED162D"/>
    <w:rsid w:val="00ED1884"/>
    <w:rsid w:val="00ED1D1E"/>
    <w:rsid w:val="00ED2CB6"/>
    <w:rsid w:val="00ED2DD9"/>
    <w:rsid w:val="00ED3349"/>
    <w:rsid w:val="00ED3911"/>
    <w:rsid w:val="00EE0D6A"/>
    <w:rsid w:val="00EE68D5"/>
    <w:rsid w:val="00EE6A3D"/>
    <w:rsid w:val="00EF0F7D"/>
    <w:rsid w:val="00EF1AD8"/>
    <w:rsid w:val="00EF6CD0"/>
    <w:rsid w:val="00EF771F"/>
    <w:rsid w:val="00EF788A"/>
    <w:rsid w:val="00F00AEF"/>
    <w:rsid w:val="00F03460"/>
    <w:rsid w:val="00F04C89"/>
    <w:rsid w:val="00F052FF"/>
    <w:rsid w:val="00F07371"/>
    <w:rsid w:val="00F07C27"/>
    <w:rsid w:val="00F13B0C"/>
    <w:rsid w:val="00F13C62"/>
    <w:rsid w:val="00F140CD"/>
    <w:rsid w:val="00F150C6"/>
    <w:rsid w:val="00F17F2C"/>
    <w:rsid w:val="00F17F83"/>
    <w:rsid w:val="00F20F0B"/>
    <w:rsid w:val="00F2186C"/>
    <w:rsid w:val="00F21977"/>
    <w:rsid w:val="00F23FF1"/>
    <w:rsid w:val="00F266C2"/>
    <w:rsid w:val="00F27EE6"/>
    <w:rsid w:val="00F3098C"/>
    <w:rsid w:val="00F309FB"/>
    <w:rsid w:val="00F315EE"/>
    <w:rsid w:val="00F324C5"/>
    <w:rsid w:val="00F32B4F"/>
    <w:rsid w:val="00F33F02"/>
    <w:rsid w:val="00F34806"/>
    <w:rsid w:val="00F4116C"/>
    <w:rsid w:val="00F428F4"/>
    <w:rsid w:val="00F45001"/>
    <w:rsid w:val="00F47980"/>
    <w:rsid w:val="00F47B41"/>
    <w:rsid w:val="00F47CB9"/>
    <w:rsid w:val="00F544C4"/>
    <w:rsid w:val="00F54665"/>
    <w:rsid w:val="00F54BA8"/>
    <w:rsid w:val="00F55DA2"/>
    <w:rsid w:val="00F55E05"/>
    <w:rsid w:val="00F60A3A"/>
    <w:rsid w:val="00F60D6B"/>
    <w:rsid w:val="00F6169A"/>
    <w:rsid w:val="00F6372A"/>
    <w:rsid w:val="00F63920"/>
    <w:rsid w:val="00F66733"/>
    <w:rsid w:val="00F672A9"/>
    <w:rsid w:val="00F7216B"/>
    <w:rsid w:val="00F72DCC"/>
    <w:rsid w:val="00F73346"/>
    <w:rsid w:val="00F733D8"/>
    <w:rsid w:val="00F7416E"/>
    <w:rsid w:val="00F76DAC"/>
    <w:rsid w:val="00F774F8"/>
    <w:rsid w:val="00F82AB9"/>
    <w:rsid w:val="00F830B0"/>
    <w:rsid w:val="00F832D4"/>
    <w:rsid w:val="00F83603"/>
    <w:rsid w:val="00F84775"/>
    <w:rsid w:val="00F91AB2"/>
    <w:rsid w:val="00F9292E"/>
    <w:rsid w:val="00F9428F"/>
    <w:rsid w:val="00F95910"/>
    <w:rsid w:val="00FA303E"/>
    <w:rsid w:val="00FA39AC"/>
    <w:rsid w:val="00FA55B7"/>
    <w:rsid w:val="00FA5E25"/>
    <w:rsid w:val="00FB20FF"/>
    <w:rsid w:val="00FB2C0B"/>
    <w:rsid w:val="00FB3D4D"/>
    <w:rsid w:val="00FB524B"/>
    <w:rsid w:val="00FB5B8A"/>
    <w:rsid w:val="00FC0471"/>
    <w:rsid w:val="00FC22FF"/>
    <w:rsid w:val="00FC2B75"/>
    <w:rsid w:val="00FD0123"/>
    <w:rsid w:val="00FD2793"/>
    <w:rsid w:val="00FD27EA"/>
    <w:rsid w:val="00FD427A"/>
    <w:rsid w:val="00FD4734"/>
    <w:rsid w:val="00FD7C07"/>
    <w:rsid w:val="00FE1549"/>
    <w:rsid w:val="00FE3242"/>
    <w:rsid w:val="00FE38CD"/>
    <w:rsid w:val="00FE7E93"/>
    <w:rsid w:val="00FE7F16"/>
    <w:rsid w:val="00FF1671"/>
    <w:rsid w:val="00FF19A6"/>
    <w:rsid w:val="00FF1EE7"/>
    <w:rsid w:val="00FF3E2A"/>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545F23B"/>
  <w15:docId w15:val="{D76777C3-65AA-4E2E-81B9-B60B95B5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pPr>
      <w:numPr>
        <w:numId w:val="5"/>
      </w:numPr>
      <w:spacing w:after="240"/>
      <w:jc w:val="both"/>
      <w:outlineLvl w:val="0"/>
    </w:pPr>
    <w:rPr>
      <w:rFonts w:eastAsia="Times New Roman"/>
      <w:bCs/>
      <w:color w:val="000000"/>
      <w:szCs w:val="32"/>
    </w:rPr>
  </w:style>
  <w:style w:type="paragraph" w:styleId="Heading2">
    <w:name w:val="heading 2"/>
    <w:basedOn w:val="Normal"/>
    <w:link w:val="Heading2Char"/>
    <w:qFormat/>
    <w:pPr>
      <w:numPr>
        <w:ilvl w:val="1"/>
        <w:numId w:val="5"/>
      </w:numPr>
      <w:spacing w:after="240"/>
      <w:jc w:val="both"/>
      <w:outlineLvl w:val="1"/>
    </w:pPr>
    <w:rPr>
      <w:rFonts w:eastAsia="Times New Roman"/>
      <w:bCs/>
      <w:iCs/>
      <w:color w:val="000000"/>
      <w:szCs w:val="28"/>
    </w:rPr>
  </w:style>
  <w:style w:type="paragraph" w:styleId="Heading3">
    <w:name w:val="heading 3"/>
    <w:basedOn w:val="Normal"/>
    <w:link w:val="Heading3Char"/>
    <w:qFormat/>
    <w:pPr>
      <w:numPr>
        <w:ilvl w:val="2"/>
        <w:numId w:val="5"/>
      </w:numPr>
      <w:spacing w:after="240"/>
      <w:jc w:val="both"/>
      <w:outlineLvl w:val="2"/>
    </w:pPr>
    <w:rPr>
      <w:rFonts w:eastAsia="Times New Roman"/>
      <w:bCs/>
      <w:color w:val="000000"/>
      <w:szCs w:val="26"/>
    </w:rPr>
  </w:style>
  <w:style w:type="paragraph" w:styleId="Heading4">
    <w:name w:val="heading 4"/>
    <w:basedOn w:val="Normal"/>
    <w:link w:val="Heading4Char"/>
    <w:uiPriority w:val="9"/>
    <w:qFormat/>
    <w:pPr>
      <w:numPr>
        <w:ilvl w:val="3"/>
        <w:numId w:val="5"/>
      </w:numPr>
      <w:spacing w:after="240"/>
      <w:jc w:val="both"/>
      <w:outlineLvl w:val="3"/>
    </w:pPr>
    <w:rPr>
      <w:rFonts w:eastAsia="Times New Roman"/>
      <w:bCs/>
      <w:color w:val="000000"/>
      <w:szCs w:val="28"/>
    </w:rPr>
  </w:style>
  <w:style w:type="paragraph" w:styleId="Heading5">
    <w:name w:val="heading 5"/>
    <w:basedOn w:val="Normal"/>
    <w:link w:val="Heading5Char"/>
    <w:uiPriority w:val="9"/>
    <w:qFormat/>
    <w:pPr>
      <w:numPr>
        <w:ilvl w:val="4"/>
        <w:numId w:val="5"/>
      </w:numPr>
      <w:spacing w:after="240"/>
      <w:jc w:val="both"/>
      <w:outlineLvl w:val="4"/>
    </w:pPr>
    <w:rPr>
      <w:rFonts w:eastAsia="Times New Roman"/>
      <w:bCs/>
      <w:iCs/>
      <w:color w:val="000000"/>
      <w:szCs w:val="26"/>
    </w:rPr>
  </w:style>
  <w:style w:type="paragraph" w:styleId="Heading6">
    <w:name w:val="heading 6"/>
    <w:basedOn w:val="Normal"/>
    <w:link w:val="Heading6Char"/>
    <w:uiPriority w:val="9"/>
    <w:qFormat/>
    <w:pPr>
      <w:numPr>
        <w:ilvl w:val="5"/>
        <w:numId w:val="5"/>
      </w:numPr>
      <w:spacing w:after="240"/>
      <w:jc w:val="both"/>
      <w:outlineLvl w:val="5"/>
    </w:pPr>
    <w:rPr>
      <w:rFonts w:eastAsia="Times New Roman"/>
      <w:bCs/>
      <w:color w:val="000000"/>
      <w:szCs w:val="22"/>
    </w:rPr>
  </w:style>
  <w:style w:type="paragraph" w:styleId="Heading7">
    <w:name w:val="heading 7"/>
    <w:basedOn w:val="Normal"/>
    <w:link w:val="Heading7Char"/>
    <w:uiPriority w:val="9"/>
    <w:qFormat/>
    <w:pPr>
      <w:numPr>
        <w:ilvl w:val="6"/>
        <w:numId w:val="5"/>
      </w:numPr>
      <w:spacing w:after="240"/>
      <w:jc w:val="both"/>
      <w:outlineLvl w:val="6"/>
    </w:pPr>
    <w:rPr>
      <w:rFonts w:eastAsia="Times New Roman"/>
      <w:color w:val="000000"/>
    </w:rPr>
  </w:style>
  <w:style w:type="paragraph" w:styleId="Heading8">
    <w:name w:val="heading 8"/>
    <w:basedOn w:val="Normal"/>
    <w:link w:val="Heading8Char"/>
    <w:uiPriority w:val="9"/>
    <w:qFormat/>
    <w:pPr>
      <w:numPr>
        <w:ilvl w:val="7"/>
        <w:numId w:val="5"/>
      </w:numPr>
      <w:spacing w:after="240"/>
      <w:jc w:val="both"/>
      <w:outlineLvl w:val="7"/>
    </w:pPr>
    <w:rPr>
      <w:rFonts w:eastAsia="Times New Roman"/>
      <w:iCs/>
      <w:color w:val="000000"/>
    </w:rPr>
  </w:style>
  <w:style w:type="paragraph" w:styleId="Heading9">
    <w:name w:val="heading 9"/>
    <w:basedOn w:val="Normal"/>
    <w:link w:val="Heading9Char"/>
    <w:uiPriority w:val="9"/>
    <w:qFormat/>
    <w:pPr>
      <w:numPr>
        <w:ilvl w:val="8"/>
        <w:numId w:val="5"/>
      </w:numPr>
      <w:spacing w:after="240"/>
      <w:jc w:val="both"/>
      <w:outlineLvl w:val="8"/>
    </w:pPr>
    <w:rPr>
      <w:rFonts w:eastAsia="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APPBlockQuote">
    <w:name w:val="APPBlockQuote"/>
    <w:basedOn w:val="Normal"/>
    <w:pPr>
      <w:spacing w:after="240"/>
      <w:ind w:left="720" w:right="720"/>
    </w:pPr>
    <w:rPr>
      <w:rFonts w:eastAsia="Times New Roman"/>
    </w:rPr>
  </w:style>
  <w:style w:type="paragraph" w:customStyle="1" w:styleId="APPBlockQuote1">
    <w:name w:val="APPBlockQuote 1&quot;"/>
    <w:basedOn w:val="APPBlockQuote"/>
    <w:pPr>
      <w:ind w:left="1440" w:right="1440"/>
    </w:pPr>
  </w:style>
  <w:style w:type="paragraph" w:customStyle="1" w:styleId="APPBlockTxt">
    <w:name w:val="APPBlockTxt"/>
    <w:basedOn w:val="Normal"/>
    <w:pPr>
      <w:spacing w:after="240"/>
    </w:pPr>
    <w:rPr>
      <w:rFonts w:eastAsia="Times New Roman"/>
    </w:rPr>
  </w:style>
  <w:style w:type="paragraph" w:customStyle="1" w:styleId="APPBodyTxt">
    <w:name w:val="APPBodyTxt"/>
    <w:basedOn w:val="Normal"/>
    <w:pPr>
      <w:spacing w:after="240"/>
      <w:ind w:firstLine="720"/>
    </w:pPr>
    <w:rPr>
      <w:rFonts w:eastAsia="Times New Roman"/>
    </w:rPr>
  </w:style>
  <w:style w:type="paragraph" w:customStyle="1" w:styleId="APPBodyTxt2">
    <w:name w:val="APPBodyTxt 2"/>
    <w:basedOn w:val="Normal"/>
    <w:qFormat/>
    <w:pPr>
      <w:spacing w:line="480" w:lineRule="auto"/>
      <w:ind w:firstLine="720"/>
    </w:pPr>
    <w:rPr>
      <w:rFonts w:eastAsia="Times New Roman"/>
    </w:rPr>
  </w:style>
  <w:style w:type="paragraph" w:customStyle="1" w:styleId="APPBodyTxtJ">
    <w:name w:val="APPBodyTxt J"/>
    <w:basedOn w:val="Normal"/>
    <w:pPr>
      <w:spacing w:after="240" w:line="360" w:lineRule="auto"/>
      <w:ind w:firstLine="720"/>
      <w:jc w:val="both"/>
    </w:pPr>
  </w:style>
  <w:style w:type="paragraph" w:customStyle="1" w:styleId="APPBodyTxtJ2">
    <w:name w:val="APPBodyTxt J 2"/>
    <w:basedOn w:val="Normal"/>
    <w:pPr>
      <w:spacing w:line="480" w:lineRule="auto"/>
      <w:ind w:firstLine="720"/>
      <w:jc w:val="both"/>
    </w:pPr>
    <w:rPr>
      <w:rFonts w:eastAsia="Times New Roman"/>
    </w:rPr>
  </w:style>
  <w:style w:type="paragraph" w:customStyle="1" w:styleId="APPClosing">
    <w:name w:val="APPClosing"/>
    <w:basedOn w:val="Normal"/>
    <w:pPr>
      <w:spacing w:after="720"/>
      <w:ind w:left="4680"/>
    </w:pPr>
    <w:rPr>
      <w:rFonts w:eastAsia="Times New Roman"/>
    </w:rPr>
  </w:style>
  <w:style w:type="paragraph" w:customStyle="1" w:styleId="APPSignature">
    <w:name w:val="APPSignature"/>
    <w:basedOn w:val="Normal"/>
    <w:pPr>
      <w:ind w:left="4680"/>
    </w:pPr>
    <w:rPr>
      <w:rFonts w:eastAsia="Times New Roman"/>
    </w:rPr>
  </w:style>
  <w:style w:type="paragraph" w:customStyle="1" w:styleId="APPTableTxt">
    <w:name w:val="APPTableTxt"/>
    <w:basedOn w:val="Normal"/>
    <w:rPr>
      <w:rFonts w:eastAsia="Times New Roman"/>
    </w:rPr>
  </w:style>
  <w:style w:type="paragraph" w:customStyle="1" w:styleId="APPTitle">
    <w:name w:val="APP Title"/>
    <w:basedOn w:val="APPBodyTxt"/>
    <w:pPr>
      <w:ind w:firstLine="0"/>
      <w:jc w:val="center"/>
      <w:outlineLvl w:val="0"/>
    </w:pPr>
    <w:rPr>
      <w:rFonts w:ascii="Times New Roman Bold" w:hAnsi="Times New Roman Bold"/>
    </w:rPr>
  </w:style>
  <w:style w:type="character" w:customStyle="1" w:styleId="DocID">
    <w:name w:val="DocID"/>
    <w:rPr>
      <w:rFonts w:ascii="Times New Roman" w:hAnsi="Times New Roman"/>
      <w:dstrike w:val="0"/>
      <w:color w:val="auto"/>
      <w:sz w:val="18"/>
      <w:u w:val="none"/>
      <w:vertAlign w:val="baseline"/>
    </w:rPr>
  </w:style>
  <w:style w:type="character" w:customStyle="1" w:styleId="Heading1Char">
    <w:name w:val="Heading 1 Char"/>
    <w:link w:val="Heading1"/>
    <w:rPr>
      <w:rFonts w:eastAsia="Times New Roman"/>
      <w:bCs/>
      <w:color w:val="000000"/>
      <w:sz w:val="24"/>
      <w:szCs w:val="32"/>
    </w:rPr>
  </w:style>
  <w:style w:type="character" w:customStyle="1" w:styleId="Heading2Char">
    <w:name w:val="Heading 2 Char"/>
    <w:link w:val="Heading2"/>
    <w:rPr>
      <w:rFonts w:eastAsia="Times New Roman"/>
      <w:bCs/>
      <w:iCs/>
      <w:color w:val="000000"/>
      <w:sz w:val="24"/>
      <w:szCs w:val="28"/>
    </w:rPr>
  </w:style>
  <w:style w:type="character" w:customStyle="1" w:styleId="Heading3Char">
    <w:name w:val="Heading 3 Char"/>
    <w:link w:val="Heading3"/>
    <w:rPr>
      <w:rFonts w:eastAsia="Times New Roman"/>
      <w:bCs/>
      <w:color w:val="000000"/>
      <w:sz w:val="24"/>
      <w:szCs w:val="26"/>
    </w:rPr>
  </w:style>
  <w:style w:type="character" w:customStyle="1" w:styleId="Heading4Char">
    <w:name w:val="Heading 4 Char"/>
    <w:link w:val="Heading4"/>
    <w:uiPriority w:val="9"/>
    <w:rPr>
      <w:rFonts w:eastAsia="Times New Roman"/>
      <w:bCs/>
      <w:color w:val="000000"/>
      <w:sz w:val="24"/>
      <w:szCs w:val="28"/>
    </w:rPr>
  </w:style>
  <w:style w:type="character" w:customStyle="1" w:styleId="Heading5Char">
    <w:name w:val="Heading 5 Char"/>
    <w:link w:val="Heading5"/>
    <w:uiPriority w:val="9"/>
    <w:rPr>
      <w:rFonts w:eastAsia="Times New Roman"/>
      <w:bCs/>
      <w:iCs/>
      <w:color w:val="000000"/>
      <w:sz w:val="24"/>
      <w:szCs w:val="26"/>
    </w:rPr>
  </w:style>
  <w:style w:type="character" w:customStyle="1" w:styleId="Heading6Char">
    <w:name w:val="Heading 6 Char"/>
    <w:link w:val="Heading6"/>
    <w:uiPriority w:val="9"/>
    <w:rPr>
      <w:rFonts w:eastAsia="Times New Roman"/>
      <w:bCs/>
      <w:color w:val="000000"/>
      <w:sz w:val="24"/>
      <w:szCs w:val="22"/>
    </w:rPr>
  </w:style>
  <w:style w:type="character" w:customStyle="1" w:styleId="Heading7Char">
    <w:name w:val="Heading 7 Char"/>
    <w:link w:val="Heading7"/>
    <w:uiPriority w:val="9"/>
    <w:rPr>
      <w:rFonts w:eastAsia="Times New Roman"/>
      <w:color w:val="000000"/>
      <w:sz w:val="24"/>
      <w:szCs w:val="24"/>
    </w:rPr>
  </w:style>
  <w:style w:type="character" w:customStyle="1" w:styleId="Heading8Char">
    <w:name w:val="Heading 8 Char"/>
    <w:link w:val="Heading8"/>
    <w:uiPriority w:val="9"/>
    <w:rPr>
      <w:rFonts w:eastAsia="Times New Roman"/>
      <w:iCs/>
      <w:color w:val="000000"/>
      <w:sz w:val="24"/>
      <w:szCs w:val="24"/>
    </w:rPr>
  </w:style>
  <w:style w:type="character" w:customStyle="1" w:styleId="Heading9Char">
    <w:name w:val="Heading 9 Char"/>
    <w:link w:val="Heading9"/>
    <w:uiPriority w:val="9"/>
    <w:rPr>
      <w:rFonts w:eastAsia="Times New Roman"/>
      <w:color w:val="000000"/>
      <w:sz w:val="24"/>
      <w:szCs w:val="22"/>
    </w:rPr>
  </w:style>
  <w:style w:type="paragraph" w:styleId="TOC1">
    <w:name w:val="toc 1"/>
    <w:basedOn w:val="Normal"/>
    <w:next w:val="Normal"/>
    <w:autoRedefine/>
    <w:pPr>
      <w:ind w:left="720" w:right="432" w:hanging="720"/>
    </w:pPr>
    <w:rPr>
      <w:rFonts w:eastAsia="Times New Roman"/>
      <w:noProof/>
      <w:szCs w:val="20"/>
    </w:rPr>
  </w:style>
  <w:style w:type="paragraph" w:styleId="TOC2">
    <w:name w:val="toc 2"/>
    <w:basedOn w:val="Normal"/>
    <w:next w:val="Normal"/>
    <w:autoRedefine/>
    <w:pPr>
      <w:tabs>
        <w:tab w:val="left" w:pos="1440"/>
        <w:tab w:val="right" w:leader="dot" w:pos="9360"/>
      </w:tabs>
      <w:ind w:left="1440" w:right="432" w:hanging="720"/>
    </w:pPr>
    <w:rPr>
      <w:rFonts w:eastAsia="Times New Roman"/>
      <w:noProof/>
    </w:rPr>
  </w:style>
  <w:style w:type="paragraph" w:styleId="TOC3">
    <w:name w:val="toc 3"/>
    <w:basedOn w:val="Normal"/>
    <w:next w:val="Normal"/>
    <w:autoRedefine/>
    <w:pPr>
      <w:tabs>
        <w:tab w:val="left" w:pos="2160"/>
        <w:tab w:val="right" w:leader="dot" w:pos="9360"/>
      </w:tabs>
      <w:ind w:left="2160" w:right="432" w:hanging="720"/>
    </w:pPr>
    <w:rPr>
      <w:rFonts w:eastAsia="Times New Roman"/>
      <w:noProof/>
    </w:rPr>
  </w:style>
  <w:style w:type="paragraph" w:styleId="TOC4">
    <w:name w:val="toc 4"/>
    <w:basedOn w:val="Normal"/>
    <w:next w:val="Normal"/>
    <w:autoRedefine/>
    <w:pPr>
      <w:tabs>
        <w:tab w:val="left" w:pos="2880"/>
        <w:tab w:val="right" w:leader="dot" w:pos="9360"/>
      </w:tabs>
      <w:ind w:left="2880" w:right="432" w:hanging="720"/>
    </w:pPr>
    <w:rPr>
      <w:rFonts w:eastAsia="Times New Roman"/>
      <w:noProof/>
    </w:rPr>
  </w:style>
  <w:style w:type="paragraph" w:styleId="TOC5">
    <w:name w:val="toc 5"/>
    <w:basedOn w:val="Normal"/>
    <w:next w:val="Normal"/>
    <w:autoRedefine/>
    <w:pPr>
      <w:tabs>
        <w:tab w:val="left" w:pos="3600"/>
        <w:tab w:val="right" w:leader="dot" w:pos="9360"/>
      </w:tabs>
      <w:ind w:left="3600" w:right="432" w:hanging="720"/>
    </w:pPr>
    <w:rPr>
      <w:rFonts w:eastAsia="Times New Roman"/>
      <w:noProof/>
    </w:rPr>
  </w:style>
  <w:style w:type="paragraph" w:styleId="TOC6">
    <w:name w:val="toc 6"/>
    <w:basedOn w:val="Normal"/>
    <w:next w:val="Normal"/>
    <w:autoRedefine/>
    <w:pPr>
      <w:tabs>
        <w:tab w:val="left" w:pos="4320"/>
        <w:tab w:val="right" w:leader="dot" w:pos="9360"/>
      </w:tabs>
      <w:ind w:left="4320" w:right="432" w:hanging="720"/>
    </w:pPr>
    <w:rPr>
      <w:rFonts w:eastAsia="Times New Roman"/>
      <w:noProof/>
    </w:rPr>
  </w:style>
  <w:style w:type="paragraph" w:styleId="TOC7">
    <w:name w:val="toc 7"/>
    <w:basedOn w:val="Normal"/>
    <w:next w:val="Normal"/>
    <w:autoRedefine/>
    <w:pPr>
      <w:tabs>
        <w:tab w:val="left" w:pos="5040"/>
        <w:tab w:val="right" w:leader="dot" w:pos="9360"/>
      </w:tabs>
      <w:ind w:left="5040" w:right="432" w:hanging="720"/>
    </w:pPr>
    <w:rPr>
      <w:rFonts w:eastAsia="Times New Roman"/>
      <w:noProof/>
    </w:rPr>
  </w:style>
  <w:style w:type="paragraph" w:styleId="TOC8">
    <w:name w:val="toc 8"/>
    <w:basedOn w:val="Normal"/>
    <w:next w:val="Normal"/>
    <w:autoRedefine/>
    <w:pPr>
      <w:tabs>
        <w:tab w:val="left" w:pos="5760"/>
        <w:tab w:val="right" w:leader="dot" w:pos="9360"/>
      </w:tabs>
      <w:ind w:left="5760" w:right="432" w:hanging="720"/>
    </w:pPr>
    <w:rPr>
      <w:rFonts w:eastAsia="Times New Roman"/>
      <w:noProof/>
    </w:rPr>
  </w:style>
  <w:style w:type="paragraph" w:styleId="TOC9">
    <w:name w:val="toc 9"/>
    <w:basedOn w:val="Normal"/>
    <w:next w:val="Normal"/>
    <w:autoRedefine/>
    <w:pPr>
      <w:ind w:left="6480" w:right="432" w:hanging="720"/>
    </w:pPr>
    <w:rPr>
      <w:rFonts w:eastAsia="Times New Roman"/>
      <w:noProof/>
      <w:szCs w:val="20"/>
    </w:rPr>
  </w:style>
  <w:style w:type="paragraph" w:styleId="TOCHeading">
    <w:name w:val="TOC Heading"/>
    <w:basedOn w:val="Normal"/>
    <w:qFormat/>
    <w:pPr>
      <w:jc w:val="center"/>
    </w:pPr>
    <w:rPr>
      <w:rFonts w:eastAsia="Times New Roman"/>
      <w:b/>
      <w:szCs w:val="20"/>
    </w:rPr>
  </w:style>
  <w:style w:type="paragraph" w:customStyle="1" w:styleId="TOCPage">
    <w:name w:val="TOC Page"/>
    <w:basedOn w:val="Normal"/>
    <w:pPr>
      <w:jc w:val="right"/>
    </w:pPr>
    <w:rPr>
      <w:rFonts w:eastAsia="Times New Roman"/>
      <w:b/>
      <w:szCs w:val="20"/>
    </w:rPr>
  </w:style>
  <w:style w:type="paragraph" w:customStyle="1" w:styleId="APPBulletTxt">
    <w:name w:val="APPBulletTxt"/>
    <w:basedOn w:val="Normal"/>
    <w:pPr>
      <w:numPr>
        <w:numId w:val="1"/>
      </w:numPr>
      <w:spacing w:after="120"/>
      <w:contextualSpacing/>
    </w:pPr>
    <w:rPr>
      <w:rFonts w:eastAsia="Times New Roman"/>
    </w:rPr>
  </w:style>
  <w:style w:type="paragraph" w:styleId="Caption">
    <w:name w:val="caption"/>
    <w:basedOn w:val="Normal"/>
    <w:next w:val="Normal"/>
    <w:qFormat/>
    <w:pPr>
      <w:spacing w:after="200"/>
      <w:jc w:val="center"/>
    </w:pPr>
    <w:rPr>
      <w:b/>
      <w:bCs/>
      <w:szCs w:val="18"/>
    </w:rPr>
  </w:style>
  <w:style w:type="paragraph" w:styleId="TOAHeading">
    <w:name w:val="toa heading"/>
    <w:basedOn w:val="Normal"/>
    <w:next w:val="Normal"/>
    <w:uiPriority w:val="99"/>
    <w:pPr>
      <w:spacing w:before="120"/>
    </w:pPr>
    <w:rPr>
      <w:rFonts w:eastAsia="Times New Roman"/>
      <w:b/>
      <w:bCs/>
    </w:rPr>
  </w:style>
  <w:style w:type="paragraph" w:styleId="Title">
    <w:name w:val="Title"/>
    <w:basedOn w:val="Normal"/>
    <w:next w:val="Normal"/>
    <w:link w:val="TitleChar"/>
    <w:qFormat/>
    <w:pPr>
      <w:spacing w:after="300"/>
      <w:contextualSpacing/>
    </w:pPr>
    <w:rPr>
      <w:rFonts w:eastAsia="Times New Roman"/>
      <w:spacing w:val="5"/>
      <w:kern w:val="28"/>
      <w:szCs w:val="52"/>
    </w:rPr>
  </w:style>
  <w:style w:type="character" w:customStyle="1" w:styleId="TitleChar">
    <w:name w:val="Title Char"/>
    <w:link w:val="Title"/>
    <w:rPr>
      <w:rFonts w:eastAsia="Times New Roman" w:cs="Times New Roman"/>
      <w:spacing w:val="5"/>
      <w:kern w:val="28"/>
      <w:szCs w:val="52"/>
    </w:rPr>
  </w:style>
  <w:style w:type="paragraph" w:styleId="Subtitle">
    <w:name w:val="Subtitle"/>
    <w:basedOn w:val="Normal"/>
    <w:next w:val="Normal"/>
    <w:link w:val="SubtitleChar"/>
    <w:qFormat/>
    <w:pPr>
      <w:numPr>
        <w:ilvl w:val="1"/>
      </w:numPr>
    </w:pPr>
    <w:rPr>
      <w:rFonts w:eastAsia="Times New Roman"/>
      <w:iCs/>
    </w:rPr>
  </w:style>
  <w:style w:type="character" w:customStyle="1" w:styleId="SubtitleChar">
    <w:name w:val="Subtitle Char"/>
    <w:link w:val="Subtitle"/>
    <w:rPr>
      <w:rFonts w:eastAsia="Times New Roman" w:cs="Times New Roman"/>
      <w:iCs/>
    </w:rPr>
  </w:style>
  <w:style w:type="paragraph" w:customStyle="1" w:styleId="APPNumList">
    <w:name w:val="APPNumList"/>
    <w:basedOn w:val="Normal"/>
    <w:pPr>
      <w:numPr>
        <w:numId w:val="2"/>
      </w:numPr>
      <w:contextualSpacing/>
    </w:pPr>
    <w:rPr>
      <w:rFonts w:eastAsia="Times New Roman"/>
    </w:rPr>
  </w:style>
  <w:style w:type="paragraph" w:customStyle="1" w:styleId="APPBulletTxtwSpace">
    <w:name w:val="APPBulletTxt w/Space"/>
    <w:basedOn w:val="APPBulletTxt"/>
    <w:pPr>
      <w:spacing w:after="240"/>
      <w:contextualSpacing w:val="0"/>
    </w:pPr>
  </w:style>
  <w:style w:type="paragraph" w:customStyle="1" w:styleId="APPNumListwSpace">
    <w:name w:val="APPNumList w/Space"/>
    <w:basedOn w:val="Normal"/>
    <w:qFormat/>
    <w:pPr>
      <w:numPr>
        <w:numId w:val="4"/>
      </w:numPr>
      <w:spacing w:after="240"/>
    </w:pPr>
  </w:style>
  <w:style w:type="paragraph" w:customStyle="1" w:styleId="APPTNT">
    <w:name w:val="APP TNT"/>
    <w:basedOn w:val="Normal"/>
    <w:qFormat/>
    <w:pPr>
      <w:spacing w:after="240"/>
    </w:pPr>
    <w:rPr>
      <w:rFonts w:eastAsia="Times New Roman"/>
    </w:rPr>
  </w:style>
  <w:style w:type="numbering" w:customStyle="1" w:styleId="ListBullets">
    <w:name w:val="ListBullets"/>
    <w:pPr>
      <w:numPr>
        <w:numId w:val="1"/>
      </w:numPr>
    </w:pPr>
  </w:style>
  <w:style w:type="paragraph" w:styleId="ListParagraph">
    <w:name w:val="List Paragraph"/>
    <w:basedOn w:val="Normal"/>
    <w:uiPriority w:val="99"/>
    <w:qFormat/>
    <w:pPr>
      <w:ind w:left="720"/>
      <w:contextualSpacing/>
    </w:pPr>
  </w:style>
  <w:style w:type="numbering" w:customStyle="1" w:styleId="NumLists">
    <w:name w:val="NumLists"/>
    <w:pPr>
      <w:numPr>
        <w:numId w:val="2"/>
      </w:numPr>
    </w:pPr>
  </w:style>
  <w:style w:type="numbering" w:customStyle="1" w:styleId="APPNumListwSpace0">
    <w:name w:val="APPNumListwSpace"/>
    <w:pPr>
      <w:numPr>
        <w:numId w:val="3"/>
      </w:numPr>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Body">
    <w:name w:val="Body"/>
    <w:basedOn w:val="Normal"/>
    <w:link w:val="BodyChar"/>
    <w:qFormat/>
    <w:pPr>
      <w:jc w:val="both"/>
    </w:pPr>
    <w:rPr>
      <w:rFonts w:eastAsia="Times New Roman"/>
    </w:rPr>
  </w:style>
  <w:style w:type="character" w:customStyle="1" w:styleId="BodyChar">
    <w:name w:val="Body Char"/>
    <w:basedOn w:val="DefaultParagraphFont"/>
    <w:link w:val="Body"/>
    <w:rPr>
      <w:rFonts w:eastAsia="Times New Roman"/>
      <w:sz w:val="24"/>
      <w:szCs w:val="24"/>
    </w:rPr>
  </w:style>
  <w:style w:type="character" w:styleId="Hyperlink">
    <w:name w:val="Hyperlink"/>
    <w:basedOn w:val="DefaultParagraphFont"/>
    <w:uiPriority w:val="99"/>
    <w:rPr>
      <w:color w:val="0000FF" w:themeColor="hyperlink"/>
      <w:u w:val="single"/>
    </w:rPr>
  </w:style>
  <w:style w:type="paragraph" w:customStyle="1" w:styleId="CharCharChar">
    <w:name w:val="Char Char Char"/>
    <w:basedOn w:val="Normal"/>
    <w:pPr>
      <w:spacing w:after="160" w:line="240" w:lineRule="exact"/>
    </w:pPr>
    <w:rPr>
      <w:rFonts w:ascii="Verdana" w:eastAsia="Times New Roman" w:hAnsi="Verdana" w:cs="Verdana"/>
      <w:sz w:val="20"/>
      <w:szCs w:val="20"/>
    </w:rPr>
  </w:style>
  <w:style w:type="paragraph" w:customStyle="1" w:styleId="Default">
    <w:name w:val="Default"/>
    <w:pPr>
      <w:autoSpaceDE w:val="0"/>
      <w:autoSpaceDN w:val="0"/>
      <w:adjustRightInd w:val="0"/>
    </w:pPr>
    <w:rPr>
      <w:rFonts w:ascii="Century" w:hAnsi="Century" w:cs="Century"/>
      <w:color w:val="000000"/>
      <w:sz w:val="24"/>
      <w:szCs w:val="24"/>
    </w:rPr>
  </w:style>
  <w:style w:type="character" w:customStyle="1" w:styleId="zzmpTCEntryL9">
    <w:name w:val="zzmpTCEntryL9"/>
    <w:rPr>
      <w:color w:val="0000FF"/>
    </w:rPr>
  </w:style>
  <w:style w:type="paragraph" w:customStyle="1" w:styleId="Double">
    <w:name w:val="Double"/>
    <w:basedOn w:val="Normal"/>
    <w:link w:val="DoubleChar"/>
    <w:pPr>
      <w:spacing w:line="480" w:lineRule="auto"/>
      <w:ind w:firstLine="720"/>
      <w:jc w:val="both"/>
    </w:pPr>
    <w:rPr>
      <w:rFonts w:eastAsia="SimSun"/>
      <w:szCs w:val="20"/>
    </w:rPr>
  </w:style>
  <w:style w:type="character" w:customStyle="1" w:styleId="DoubleChar">
    <w:name w:val="Double Char"/>
    <w:link w:val="Double"/>
    <w:rPr>
      <w:rFonts w:eastAsia="SimSun"/>
      <w:sz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rPr>
      <w:vertAlign w:val="superscript"/>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styleId="FollowedHyperlink">
    <w:name w:val="FollowedHyperlink"/>
    <w:basedOn w:val="DefaultParagraphFont"/>
    <w:semiHidden/>
    <w:unhideWhenUsed/>
    <w:rPr>
      <w:color w:val="800080" w:themeColor="followedHyperlink"/>
      <w:u w:val="single"/>
    </w:rPr>
  </w:style>
  <w:style w:type="character" w:customStyle="1" w:styleId="chistorynote">
    <w:name w:val="chistorynote"/>
  </w:style>
  <w:style w:type="character" w:styleId="UnresolvedMention">
    <w:name w:val="Unresolved Mention"/>
    <w:basedOn w:val="DefaultParagraphFont"/>
    <w:rsid w:val="00B67BC9"/>
    <w:rPr>
      <w:color w:val="808080"/>
      <w:shd w:val="clear" w:color="auto" w:fill="E6E6E6"/>
    </w:rPr>
  </w:style>
  <w:style w:type="paragraph" w:styleId="TableofAuthorities">
    <w:name w:val="table of authorities"/>
    <w:basedOn w:val="Normal"/>
    <w:next w:val="Normal"/>
    <w:uiPriority w:val="99"/>
    <w:semiHidden/>
    <w:unhideWhenUsed/>
    <w:rsid w:val="001765ED"/>
    <w:pPr>
      <w:spacing w:before="240"/>
      <w:ind w:left="240" w:hanging="240"/>
    </w:pPr>
    <w:rPr>
      <w:rFonts w:ascii="Century Schoolbook" w:hAnsi="Century Schoolbook" w:cstheme="minorHAnsi"/>
      <w:szCs w:val="20"/>
    </w:rPr>
  </w:style>
  <w:style w:type="paragraph" w:styleId="NormalWeb">
    <w:name w:val="Normal (Web)"/>
    <w:basedOn w:val="Normal"/>
    <w:semiHidden/>
    <w:unhideWhenUsed/>
    <w:rsid w:val="00AB3D3F"/>
  </w:style>
  <w:style w:type="character" w:styleId="PlaceholderText">
    <w:name w:val="Placeholder Text"/>
    <w:basedOn w:val="DefaultParagraphFont"/>
    <w:semiHidden/>
    <w:rsid w:val="00C156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993">
      <w:bodyDiv w:val="1"/>
      <w:marLeft w:val="0"/>
      <w:marRight w:val="0"/>
      <w:marTop w:val="0"/>
      <w:marBottom w:val="0"/>
      <w:divBdr>
        <w:top w:val="none" w:sz="0" w:space="0" w:color="auto"/>
        <w:left w:val="none" w:sz="0" w:space="0" w:color="auto"/>
        <w:bottom w:val="none" w:sz="0" w:space="0" w:color="auto"/>
        <w:right w:val="none" w:sz="0" w:space="0" w:color="auto"/>
      </w:divBdr>
    </w:div>
    <w:div w:id="118455737">
      <w:bodyDiv w:val="1"/>
      <w:marLeft w:val="0"/>
      <w:marRight w:val="0"/>
      <w:marTop w:val="0"/>
      <w:marBottom w:val="0"/>
      <w:divBdr>
        <w:top w:val="none" w:sz="0" w:space="0" w:color="auto"/>
        <w:left w:val="none" w:sz="0" w:space="0" w:color="auto"/>
        <w:bottom w:val="none" w:sz="0" w:space="0" w:color="auto"/>
        <w:right w:val="none" w:sz="0" w:space="0" w:color="auto"/>
      </w:divBdr>
    </w:div>
    <w:div w:id="159934208">
      <w:bodyDiv w:val="1"/>
      <w:marLeft w:val="0"/>
      <w:marRight w:val="0"/>
      <w:marTop w:val="0"/>
      <w:marBottom w:val="0"/>
      <w:divBdr>
        <w:top w:val="none" w:sz="0" w:space="0" w:color="auto"/>
        <w:left w:val="none" w:sz="0" w:space="0" w:color="auto"/>
        <w:bottom w:val="none" w:sz="0" w:space="0" w:color="auto"/>
        <w:right w:val="none" w:sz="0" w:space="0" w:color="auto"/>
      </w:divBdr>
    </w:div>
    <w:div w:id="205652485">
      <w:bodyDiv w:val="1"/>
      <w:marLeft w:val="0"/>
      <w:marRight w:val="0"/>
      <w:marTop w:val="0"/>
      <w:marBottom w:val="0"/>
      <w:divBdr>
        <w:top w:val="none" w:sz="0" w:space="0" w:color="auto"/>
        <w:left w:val="none" w:sz="0" w:space="0" w:color="auto"/>
        <w:bottom w:val="none" w:sz="0" w:space="0" w:color="auto"/>
        <w:right w:val="none" w:sz="0" w:space="0" w:color="auto"/>
      </w:divBdr>
    </w:div>
    <w:div w:id="230894671">
      <w:bodyDiv w:val="1"/>
      <w:marLeft w:val="0"/>
      <w:marRight w:val="0"/>
      <w:marTop w:val="0"/>
      <w:marBottom w:val="0"/>
      <w:divBdr>
        <w:top w:val="none" w:sz="0" w:space="0" w:color="auto"/>
        <w:left w:val="none" w:sz="0" w:space="0" w:color="auto"/>
        <w:bottom w:val="none" w:sz="0" w:space="0" w:color="auto"/>
        <w:right w:val="none" w:sz="0" w:space="0" w:color="auto"/>
      </w:divBdr>
    </w:div>
    <w:div w:id="310598488">
      <w:bodyDiv w:val="1"/>
      <w:marLeft w:val="0"/>
      <w:marRight w:val="0"/>
      <w:marTop w:val="0"/>
      <w:marBottom w:val="0"/>
      <w:divBdr>
        <w:top w:val="none" w:sz="0" w:space="0" w:color="auto"/>
        <w:left w:val="none" w:sz="0" w:space="0" w:color="auto"/>
        <w:bottom w:val="none" w:sz="0" w:space="0" w:color="auto"/>
        <w:right w:val="none" w:sz="0" w:space="0" w:color="auto"/>
      </w:divBdr>
    </w:div>
    <w:div w:id="319308864">
      <w:bodyDiv w:val="1"/>
      <w:marLeft w:val="0"/>
      <w:marRight w:val="0"/>
      <w:marTop w:val="0"/>
      <w:marBottom w:val="0"/>
      <w:divBdr>
        <w:top w:val="none" w:sz="0" w:space="0" w:color="auto"/>
        <w:left w:val="none" w:sz="0" w:space="0" w:color="auto"/>
        <w:bottom w:val="none" w:sz="0" w:space="0" w:color="auto"/>
        <w:right w:val="none" w:sz="0" w:space="0" w:color="auto"/>
      </w:divBdr>
    </w:div>
    <w:div w:id="517625954">
      <w:bodyDiv w:val="1"/>
      <w:marLeft w:val="0"/>
      <w:marRight w:val="0"/>
      <w:marTop w:val="0"/>
      <w:marBottom w:val="0"/>
      <w:divBdr>
        <w:top w:val="none" w:sz="0" w:space="0" w:color="auto"/>
        <w:left w:val="none" w:sz="0" w:space="0" w:color="auto"/>
        <w:bottom w:val="none" w:sz="0" w:space="0" w:color="auto"/>
        <w:right w:val="none" w:sz="0" w:space="0" w:color="auto"/>
      </w:divBdr>
      <w:divsChild>
        <w:div w:id="240676582">
          <w:marLeft w:val="0"/>
          <w:marRight w:val="0"/>
          <w:marTop w:val="0"/>
          <w:marBottom w:val="0"/>
          <w:divBdr>
            <w:top w:val="none" w:sz="0" w:space="0" w:color="auto"/>
            <w:left w:val="none" w:sz="0" w:space="0" w:color="auto"/>
            <w:bottom w:val="none" w:sz="0" w:space="0" w:color="auto"/>
            <w:right w:val="none" w:sz="0" w:space="0" w:color="auto"/>
          </w:divBdr>
        </w:div>
      </w:divsChild>
    </w:div>
    <w:div w:id="781875236">
      <w:bodyDiv w:val="1"/>
      <w:marLeft w:val="0"/>
      <w:marRight w:val="0"/>
      <w:marTop w:val="0"/>
      <w:marBottom w:val="0"/>
      <w:divBdr>
        <w:top w:val="none" w:sz="0" w:space="0" w:color="auto"/>
        <w:left w:val="none" w:sz="0" w:space="0" w:color="auto"/>
        <w:bottom w:val="none" w:sz="0" w:space="0" w:color="auto"/>
        <w:right w:val="none" w:sz="0" w:space="0" w:color="auto"/>
      </w:divBdr>
    </w:div>
    <w:div w:id="792944500">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972251186">
      <w:bodyDiv w:val="1"/>
      <w:marLeft w:val="0"/>
      <w:marRight w:val="0"/>
      <w:marTop w:val="0"/>
      <w:marBottom w:val="0"/>
      <w:divBdr>
        <w:top w:val="none" w:sz="0" w:space="0" w:color="auto"/>
        <w:left w:val="none" w:sz="0" w:space="0" w:color="auto"/>
        <w:bottom w:val="none" w:sz="0" w:space="0" w:color="auto"/>
        <w:right w:val="none" w:sz="0" w:space="0" w:color="auto"/>
      </w:divBdr>
    </w:div>
    <w:div w:id="1007637356">
      <w:bodyDiv w:val="1"/>
      <w:marLeft w:val="0"/>
      <w:marRight w:val="0"/>
      <w:marTop w:val="0"/>
      <w:marBottom w:val="0"/>
      <w:divBdr>
        <w:top w:val="none" w:sz="0" w:space="0" w:color="auto"/>
        <w:left w:val="none" w:sz="0" w:space="0" w:color="auto"/>
        <w:bottom w:val="none" w:sz="0" w:space="0" w:color="auto"/>
        <w:right w:val="none" w:sz="0" w:space="0" w:color="auto"/>
      </w:divBdr>
    </w:div>
    <w:div w:id="1077480145">
      <w:bodyDiv w:val="1"/>
      <w:marLeft w:val="0"/>
      <w:marRight w:val="0"/>
      <w:marTop w:val="0"/>
      <w:marBottom w:val="0"/>
      <w:divBdr>
        <w:top w:val="none" w:sz="0" w:space="0" w:color="auto"/>
        <w:left w:val="none" w:sz="0" w:space="0" w:color="auto"/>
        <w:bottom w:val="none" w:sz="0" w:space="0" w:color="auto"/>
        <w:right w:val="none" w:sz="0" w:space="0" w:color="auto"/>
      </w:divBdr>
      <w:divsChild>
        <w:div w:id="371153311">
          <w:marLeft w:val="0"/>
          <w:marRight w:val="0"/>
          <w:marTop w:val="0"/>
          <w:marBottom w:val="0"/>
          <w:divBdr>
            <w:top w:val="none" w:sz="0" w:space="0" w:color="auto"/>
            <w:left w:val="none" w:sz="0" w:space="0" w:color="auto"/>
            <w:bottom w:val="none" w:sz="0" w:space="0" w:color="auto"/>
            <w:right w:val="none" w:sz="0" w:space="0" w:color="auto"/>
          </w:divBdr>
        </w:div>
      </w:divsChild>
    </w:div>
    <w:div w:id="1134760379">
      <w:bodyDiv w:val="1"/>
      <w:marLeft w:val="0"/>
      <w:marRight w:val="0"/>
      <w:marTop w:val="0"/>
      <w:marBottom w:val="0"/>
      <w:divBdr>
        <w:top w:val="none" w:sz="0" w:space="0" w:color="auto"/>
        <w:left w:val="none" w:sz="0" w:space="0" w:color="auto"/>
        <w:bottom w:val="none" w:sz="0" w:space="0" w:color="auto"/>
        <w:right w:val="none" w:sz="0" w:space="0" w:color="auto"/>
      </w:divBdr>
    </w:div>
    <w:div w:id="1317416076">
      <w:bodyDiv w:val="1"/>
      <w:marLeft w:val="0"/>
      <w:marRight w:val="0"/>
      <w:marTop w:val="0"/>
      <w:marBottom w:val="0"/>
      <w:divBdr>
        <w:top w:val="none" w:sz="0" w:space="0" w:color="auto"/>
        <w:left w:val="none" w:sz="0" w:space="0" w:color="auto"/>
        <w:bottom w:val="none" w:sz="0" w:space="0" w:color="auto"/>
        <w:right w:val="none" w:sz="0" w:space="0" w:color="auto"/>
      </w:divBdr>
    </w:div>
    <w:div w:id="1394356768">
      <w:bodyDiv w:val="1"/>
      <w:marLeft w:val="0"/>
      <w:marRight w:val="0"/>
      <w:marTop w:val="0"/>
      <w:marBottom w:val="0"/>
      <w:divBdr>
        <w:top w:val="none" w:sz="0" w:space="0" w:color="auto"/>
        <w:left w:val="none" w:sz="0" w:space="0" w:color="auto"/>
        <w:bottom w:val="none" w:sz="0" w:space="0" w:color="auto"/>
        <w:right w:val="none" w:sz="0" w:space="0" w:color="auto"/>
      </w:divBdr>
    </w:div>
    <w:div w:id="1733314581">
      <w:bodyDiv w:val="1"/>
      <w:marLeft w:val="0"/>
      <w:marRight w:val="0"/>
      <w:marTop w:val="0"/>
      <w:marBottom w:val="0"/>
      <w:divBdr>
        <w:top w:val="none" w:sz="0" w:space="0" w:color="auto"/>
        <w:left w:val="none" w:sz="0" w:space="0" w:color="auto"/>
        <w:bottom w:val="none" w:sz="0" w:space="0" w:color="auto"/>
        <w:right w:val="none" w:sz="0" w:space="0" w:color="auto"/>
      </w:divBdr>
    </w:div>
    <w:div w:id="1745764557">
      <w:bodyDiv w:val="1"/>
      <w:marLeft w:val="0"/>
      <w:marRight w:val="0"/>
      <w:marTop w:val="0"/>
      <w:marBottom w:val="0"/>
      <w:divBdr>
        <w:top w:val="none" w:sz="0" w:space="0" w:color="auto"/>
        <w:left w:val="none" w:sz="0" w:space="0" w:color="auto"/>
        <w:bottom w:val="none" w:sz="0" w:space="0" w:color="auto"/>
        <w:right w:val="none" w:sz="0" w:space="0" w:color="auto"/>
      </w:divBdr>
    </w:div>
    <w:div w:id="1762875205">
      <w:bodyDiv w:val="1"/>
      <w:marLeft w:val="0"/>
      <w:marRight w:val="0"/>
      <w:marTop w:val="0"/>
      <w:marBottom w:val="0"/>
      <w:divBdr>
        <w:top w:val="none" w:sz="0" w:space="0" w:color="auto"/>
        <w:left w:val="none" w:sz="0" w:space="0" w:color="auto"/>
        <w:bottom w:val="none" w:sz="0" w:space="0" w:color="auto"/>
        <w:right w:val="none" w:sz="0" w:space="0" w:color="auto"/>
      </w:divBdr>
    </w:div>
    <w:div w:id="1803885030">
      <w:bodyDiv w:val="1"/>
      <w:marLeft w:val="0"/>
      <w:marRight w:val="0"/>
      <w:marTop w:val="0"/>
      <w:marBottom w:val="0"/>
      <w:divBdr>
        <w:top w:val="none" w:sz="0" w:space="0" w:color="auto"/>
        <w:left w:val="none" w:sz="0" w:space="0" w:color="auto"/>
        <w:bottom w:val="none" w:sz="0" w:space="0" w:color="auto"/>
        <w:right w:val="none" w:sz="0" w:space="0" w:color="auto"/>
      </w:divBdr>
    </w:div>
    <w:div w:id="1818837848">
      <w:bodyDiv w:val="1"/>
      <w:marLeft w:val="0"/>
      <w:marRight w:val="0"/>
      <w:marTop w:val="0"/>
      <w:marBottom w:val="0"/>
      <w:divBdr>
        <w:top w:val="none" w:sz="0" w:space="0" w:color="auto"/>
        <w:left w:val="none" w:sz="0" w:space="0" w:color="auto"/>
        <w:bottom w:val="none" w:sz="0" w:space="0" w:color="auto"/>
        <w:right w:val="none" w:sz="0" w:space="0" w:color="auto"/>
      </w:divBdr>
    </w:div>
    <w:div w:id="2049916904">
      <w:bodyDiv w:val="1"/>
      <w:marLeft w:val="0"/>
      <w:marRight w:val="0"/>
      <w:marTop w:val="0"/>
      <w:marBottom w:val="0"/>
      <w:divBdr>
        <w:top w:val="none" w:sz="0" w:space="0" w:color="auto"/>
        <w:left w:val="none" w:sz="0" w:space="0" w:color="auto"/>
        <w:bottom w:val="none" w:sz="0" w:space="0" w:color="auto"/>
        <w:right w:val="none" w:sz="0" w:space="0" w:color="auto"/>
      </w:divBdr>
    </w:div>
    <w:div w:id="21184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95EE-C4CD-4B53-96C3-F966BEE3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1441</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Poe</dc:creator>
  <cp:keywords/>
  <cp:lastModifiedBy>Thompson, Kathy</cp:lastModifiedBy>
  <cp:revision>2</cp:revision>
  <cp:lastPrinted>2022-04-08T15:36:00Z</cp:lastPrinted>
  <dcterms:created xsi:type="dcterms:W3CDTF">2022-04-08T20:08:00Z</dcterms:created>
  <dcterms:modified xsi:type="dcterms:W3CDTF">2022-04-08T20:08:00Z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7086273</vt:lpwstr>
  </property>
  <property fmtid="{D5CDD505-2E9C-101B-9397-08002B2CF9AE}" pid="3" name="DocumentVersion">
    <vt:lpwstr>4</vt:lpwstr>
  </property>
  <property fmtid="{D5CDD505-2E9C-101B-9397-08002B2CF9AE}" pid="4" name="ClientNumber">
    <vt:lpwstr>10512</vt:lpwstr>
  </property>
  <property fmtid="{D5CDD505-2E9C-101B-9397-08002B2CF9AE}" pid="5" name="MatterNumber">
    <vt:lpwstr>00001</vt:lpwstr>
  </property>
  <property fmtid="{D5CDD505-2E9C-101B-9397-08002B2CF9AE}" pid="6" name="ClientName">
    <vt:lpwstr>BOARDS OF ED FOR HALIFAX</vt:lpwstr>
  </property>
  <property fmtid="{D5CDD505-2E9C-101B-9397-08002B2CF9AE}" pid="7" name="MatterName">
    <vt:lpwstr>SCHOOL  FINANCE ISSUES</vt:lpwstr>
  </property>
  <property fmtid="{D5CDD505-2E9C-101B-9397-08002B2CF9AE}" pid="8" name="DatabaseName">
    <vt:lpwstr>PPAB</vt:lpwstr>
  </property>
  <property fmtid="{D5CDD505-2E9C-101B-9397-08002B2CF9AE}" pid="9" name="TypistName">
    <vt:lpwstr>CATHERINECLODFELTER</vt:lpwstr>
  </property>
  <property fmtid="{D5CDD505-2E9C-101B-9397-08002B2CF9AE}" pid="10" name="AuthorName">
    <vt:lpwstr>SCOTTBAYZLE</vt:lpwstr>
  </property>
  <property fmtid="{D5CDD505-2E9C-101B-9397-08002B2CF9AE}" pid="11" name="InUseBy">
    <vt:lpwstr>CATHERINECLODFELTER</vt:lpwstr>
  </property>
  <property fmtid="{D5CDD505-2E9C-101B-9397-08002B2CF9AE}" pid="12" name="EditDate">
    <vt:lpwstr>4/8/2022 3:33:02 PM</vt:lpwstr>
  </property>
  <property fmtid="{D5CDD505-2E9C-101B-9397-08002B2CF9AE}" pid="13" name="EditTime">
    <vt:lpwstr/>
  </property>
  <property fmtid="{D5CDD505-2E9C-101B-9397-08002B2CF9AE}" pid="14" name="IsiManageWork">
    <vt:lpwstr>True</vt:lpwstr>
  </property>
</Properties>
</file>